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45760B" w14:textId="77777777" w:rsidR="00B0357F" w:rsidRPr="00B0357F" w:rsidRDefault="00B0357F" w:rsidP="00B0357F">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B0357F">
        <w:rPr>
          <w:rFonts w:ascii="Times New Roman" w:eastAsia="Times New Roman" w:hAnsi="Times New Roman" w:cs="Times New Roman"/>
          <w:b/>
          <w:bCs/>
          <w:kern w:val="36"/>
          <w:sz w:val="48"/>
          <w:szCs w:val="48"/>
          <w14:ligatures w14:val="none"/>
        </w:rPr>
        <w:t>The Second Temple Period</w:t>
      </w:r>
    </w:p>
    <w:p w14:paraId="4CCE628E" w14:textId="77777777" w:rsidR="00B0357F" w:rsidRPr="00B0357F" w:rsidRDefault="00B0357F" w:rsidP="00B0357F">
      <w:pPr>
        <w:spacing w:after="0" w:line="240" w:lineRule="auto"/>
        <w:rPr>
          <w:rFonts w:ascii="Times New Roman" w:hAnsi="Times New Roman" w:cs="Times New Roman"/>
          <w:kern w:val="0"/>
          <w14:ligatures w14:val="none"/>
        </w:rPr>
      </w:pPr>
      <w:r w:rsidRPr="00B0357F">
        <w:rPr>
          <w:rFonts w:ascii="Times New Roman" w:eastAsia="Times New Roman" w:hAnsi="Times New Roman" w:cs="Times New Roman"/>
          <w:noProof/>
          <w:kern w:val="0"/>
          <w14:ligatures w14:val="none"/>
        </w:rPr>
        <mc:AlternateContent>
          <mc:Choice Requires="wps">
            <w:drawing>
              <wp:inline distT="0" distB="0" distL="0" distR="0" wp14:anchorId="7CEFC437" wp14:editId="1547661F">
                <wp:extent cx="5943600" cy="1270"/>
                <wp:effectExtent l="0" t="31750" r="0" b="36830"/>
                <wp:docPr id="164654802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7053D674" id="Rectangle 5"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24A7C445" w14:textId="77777777" w:rsidR="00B0357F" w:rsidRPr="00B0357F" w:rsidRDefault="00B0357F" w:rsidP="00B0357F">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B0357F">
        <w:rPr>
          <w:rFonts w:ascii="Times New Roman" w:eastAsia="Times New Roman" w:hAnsi="Times New Roman" w:cs="Times New Roman"/>
          <w:b/>
          <w:bCs/>
          <w:kern w:val="0"/>
          <w:sz w:val="36"/>
          <w:szCs w:val="36"/>
          <w14:ligatures w14:val="none"/>
        </w:rPr>
        <w:t>1. Judaism of This Era Explained</w:t>
      </w:r>
    </w:p>
    <w:p w14:paraId="53214702"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3EADFD8E"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The Second Temple period (516 BCE – 70 CE) marks one of the most formative eras in Jewish history. Spanning from the reconstruction of the Temple under Persian rule to its destruction by the Romans, this era was defined by profound religious, political, and theological developments that would shape Judaism and set the stage for Christianity.</w:t>
      </w:r>
    </w:p>
    <w:p w14:paraId="33E504A8"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73F0733A"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During this time, Judaism evolved from a primarily temple-based, sacrificial system to a more diverse and text-centered faith. The trauma of exile in Babylon (586–539 BCE) and the influence of foreign empires (Babylonian, Persian, Greek, and Roman) led to the emergence of new religious ideas, including:</w:t>
      </w:r>
    </w:p>
    <w:p w14:paraId="6A815BDF" w14:textId="77777777" w:rsidR="00B0357F" w:rsidRPr="00B0357F" w:rsidRDefault="00B0357F" w:rsidP="00B0357F">
      <w:pPr>
        <w:numPr>
          <w:ilvl w:val="0"/>
          <w:numId w:val="1"/>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Monotheistic refinement: YHWH (Yahweh) was now regarded not only as Israel’s national God but as the only true God of all nations (Isaiah 45:5).</w:t>
      </w:r>
    </w:p>
    <w:p w14:paraId="7FAE781D" w14:textId="77777777" w:rsidR="00B0357F" w:rsidRPr="00B0357F" w:rsidRDefault="00B0357F" w:rsidP="00B0357F">
      <w:pPr>
        <w:numPr>
          <w:ilvl w:val="0"/>
          <w:numId w:val="1"/>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Torah centrality: The written law, particularly the Pentateuch, became the central text of Jewish identity, studied, interpreted, and enforced by scribes and priests.</w:t>
      </w:r>
    </w:p>
    <w:p w14:paraId="6342E546" w14:textId="77777777" w:rsidR="00B0357F" w:rsidRPr="00B0357F" w:rsidRDefault="00B0357F" w:rsidP="00B0357F">
      <w:pPr>
        <w:numPr>
          <w:ilvl w:val="0"/>
          <w:numId w:val="1"/>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Synagogues and local worship: As Jews dispersed (the Diaspora), synagogues arose as local centers for teaching, prayer, and community life, supplementing the centralized Temple worship in Jerusalem.</w:t>
      </w:r>
    </w:p>
    <w:p w14:paraId="1862881F" w14:textId="77777777" w:rsidR="00B0357F" w:rsidRPr="00B0357F" w:rsidRDefault="00B0357F" w:rsidP="00B0357F">
      <w:pPr>
        <w:numPr>
          <w:ilvl w:val="0"/>
          <w:numId w:val="1"/>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Eschatological hope: Many Jews believed God would intervene in history through a messiah or divine agent to restore Israel’s fortunes, especially under foreign oppression.</w:t>
      </w:r>
    </w:p>
    <w:p w14:paraId="170CD100"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61BAA844"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By the end of the period, Judaism was no longer monolithic, but included diverse sects, legal traditions, and messianic expectations. This pluralism would directly influence the world Jesus of Nazareth entered.</w:t>
      </w:r>
    </w:p>
    <w:p w14:paraId="50D62C8B" w14:textId="77777777" w:rsidR="00B0357F" w:rsidRPr="00B0357F" w:rsidRDefault="00B0357F" w:rsidP="00B0357F">
      <w:pPr>
        <w:spacing w:after="0" w:line="240" w:lineRule="auto"/>
        <w:rPr>
          <w:rFonts w:ascii="Times New Roman" w:eastAsia="Times New Roman" w:hAnsi="Times New Roman" w:cs="Times New Roman"/>
          <w:kern w:val="0"/>
          <w14:ligatures w14:val="none"/>
        </w:rPr>
      </w:pPr>
      <w:r w:rsidRPr="00B0357F">
        <w:rPr>
          <w:rFonts w:ascii="Times New Roman" w:eastAsia="Times New Roman" w:hAnsi="Times New Roman" w:cs="Times New Roman"/>
          <w:noProof/>
          <w:kern w:val="0"/>
          <w14:ligatures w14:val="none"/>
        </w:rPr>
        <mc:AlternateContent>
          <mc:Choice Requires="wps">
            <w:drawing>
              <wp:inline distT="0" distB="0" distL="0" distR="0" wp14:anchorId="6F257B91" wp14:editId="0C024E62">
                <wp:extent cx="5943600" cy="1270"/>
                <wp:effectExtent l="0" t="31750" r="0" b="36830"/>
                <wp:docPr id="98866441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B2B72D2" id="Rectangle 4"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4377A34B" w14:textId="77777777" w:rsidR="00B0357F" w:rsidRPr="00B0357F" w:rsidRDefault="00B0357F" w:rsidP="00B0357F">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B0357F">
        <w:rPr>
          <w:rFonts w:ascii="Times New Roman" w:eastAsia="Times New Roman" w:hAnsi="Times New Roman" w:cs="Times New Roman"/>
          <w:b/>
          <w:bCs/>
          <w:kern w:val="0"/>
          <w:sz w:val="36"/>
          <w:szCs w:val="36"/>
          <w14:ligatures w14:val="none"/>
        </w:rPr>
        <w:t>2. Historical Overview: From Babylonian Captivity to Persian Restoration</w:t>
      </w:r>
    </w:p>
    <w:p w14:paraId="5FC04312"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6DD9E6AC" w14:textId="77777777" w:rsidR="00B0357F" w:rsidRPr="00B0357F" w:rsidRDefault="00B0357F" w:rsidP="00B0357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0357F">
        <w:rPr>
          <w:rFonts w:ascii="Times New Roman" w:eastAsia="Times New Roman" w:hAnsi="Times New Roman" w:cs="Times New Roman"/>
          <w:b/>
          <w:bCs/>
          <w:kern w:val="0"/>
          <w:sz w:val="27"/>
          <w:szCs w:val="27"/>
          <w14:ligatures w14:val="none"/>
        </w:rPr>
        <w:t>A. Babylonian Exile (586–539 BCE)</w:t>
      </w:r>
    </w:p>
    <w:p w14:paraId="5B734C38"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713FE438"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 xml:space="preserve">In 586 BCE, the Babylonians, under King Nebuchadnezzar, destroyed Solomon’s First Temple in Jerusalem and exiled much of the </w:t>
      </w:r>
      <w:proofErr w:type="spellStart"/>
      <w:r w:rsidRPr="00B0357F">
        <w:rPr>
          <w:rFonts w:ascii="Times New Roman" w:hAnsi="Times New Roman" w:cs="Times New Roman"/>
          <w:kern w:val="0"/>
          <w14:ligatures w14:val="none"/>
        </w:rPr>
        <w:t>Judean</w:t>
      </w:r>
      <w:proofErr w:type="spellEnd"/>
      <w:r w:rsidRPr="00B0357F">
        <w:rPr>
          <w:rFonts w:ascii="Times New Roman" w:hAnsi="Times New Roman" w:cs="Times New Roman"/>
          <w:kern w:val="0"/>
          <w14:ligatures w14:val="none"/>
        </w:rPr>
        <w:t xml:space="preserve"> elite to Babylon. This exile was a theological and identity crisis for Israel:</w:t>
      </w:r>
    </w:p>
    <w:p w14:paraId="3B233D6B" w14:textId="77777777" w:rsidR="00B0357F" w:rsidRPr="00B0357F" w:rsidRDefault="00B0357F" w:rsidP="00B0357F">
      <w:pPr>
        <w:numPr>
          <w:ilvl w:val="0"/>
          <w:numId w:val="2"/>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Without land, king, or temple, Jews reoriented their faith around covenant obedience, Sabbath observance, and maintaining identity in foreign lands.</w:t>
      </w:r>
    </w:p>
    <w:p w14:paraId="51F7FC20" w14:textId="77777777" w:rsidR="00B0357F" w:rsidRPr="00B0357F" w:rsidRDefault="00B0357F" w:rsidP="00B0357F">
      <w:pPr>
        <w:numPr>
          <w:ilvl w:val="0"/>
          <w:numId w:val="2"/>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Prophets like Ezekiel and Isaiah (</w:t>
      </w:r>
      <w:proofErr w:type="spellStart"/>
      <w:r w:rsidRPr="00B0357F">
        <w:rPr>
          <w:rFonts w:ascii="Times New Roman" w:hAnsi="Times New Roman" w:cs="Times New Roman"/>
          <w:kern w:val="0"/>
          <w14:ligatures w14:val="none"/>
        </w:rPr>
        <w:t>Deutero-Isaiah</w:t>
      </w:r>
      <w:proofErr w:type="spellEnd"/>
      <w:r w:rsidRPr="00B0357F">
        <w:rPr>
          <w:rFonts w:ascii="Times New Roman" w:hAnsi="Times New Roman" w:cs="Times New Roman"/>
          <w:kern w:val="0"/>
          <w14:ligatures w14:val="none"/>
        </w:rPr>
        <w:t>) provided hope that God would restore the people and establish a new covenant.</w:t>
      </w:r>
    </w:p>
    <w:p w14:paraId="319031B1"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03CF1385" w14:textId="77777777" w:rsidR="00B0357F" w:rsidRPr="00B0357F" w:rsidRDefault="00B0357F" w:rsidP="00B0357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0357F">
        <w:rPr>
          <w:rFonts w:ascii="Times New Roman" w:eastAsia="Times New Roman" w:hAnsi="Times New Roman" w:cs="Times New Roman"/>
          <w:b/>
          <w:bCs/>
          <w:kern w:val="0"/>
          <w:sz w:val="27"/>
          <w:szCs w:val="27"/>
          <w14:ligatures w14:val="none"/>
        </w:rPr>
        <w:t>B. Persian Period and Temple Rebuilding (539–332 BCE)</w:t>
      </w:r>
    </w:p>
    <w:p w14:paraId="3A2C7BFB"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579D1B88"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 xml:space="preserve">In 539 BCE, Cyrus the Great of Persia conquered Babylon and issued an edict allowing exiled peoples to return home. The Jews, under leaders like </w:t>
      </w:r>
      <w:proofErr w:type="spellStart"/>
      <w:r w:rsidRPr="00B0357F">
        <w:rPr>
          <w:rFonts w:ascii="Times New Roman" w:hAnsi="Times New Roman" w:cs="Times New Roman"/>
          <w:kern w:val="0"/>
          <w14:ligatures w14:val="none"/>
        </w:rPr>
        <w:t>Zerubbabel</w:t>
      </w:r>
      <w:proofErr w:type="spellEnd"/>
      <w:r w:rsidRPr="00B0357F">
        <w:rPr>
          <w:rFonts w:ascii="Times New Roman" w:hAnsi="Times New Roman" w:cs="Times New Roman"/>
          <w:kern w:val="0"/>
          <w14:ligatures w14:val="none"/>
        </w:rPr>
        <w:t xml:space="preserve"> and Joshua the High Priest, returned and rebuilt the Temple by 516 BCE, marking the start of the Second Temple.</w:t>
      </w:r>
    </w:p>
    <w:p w14:paraId="413617F5"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5341ECE4"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Key developments during the Persian period:</w:t>
      </w:r>
    </w:p>
    <w:p w14:paraId="2329CD55" w14:textId="77777777" w:rsidR="00B0357F" w:rsidRPr="00B0357F" w:rsidRDefault="00B0357F" w:rsidP="00B0357F">
      <w:pPr>
        <w:numPr>
          <w:ilvl w:val="0"/>
          <w:numId w:val="3"/>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Ezra and Nehemiah (5th century BCE) brought religious reforms. Ezra emphasized Torah reading, public teaching, and banning intermarriage.</w:t>
      </w:r>
    </w:p>
    <w:p w14:paraId="15B6FBF1" w14:textId="77777777" w:rsidR="00B0357F" w:rsidRPr="00B0357F" w:rsidRDefault="00B0357F" w:rsidP="00B0357F">
      <w:pPr>
        <w:numPr>
          <w:ilvl w:val="0"/>
          <w:numId w:val="3"/>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The Torah was canonized and read publicly (Nehemiah 8), laying the groundwork for rabbinic authority and scribal interpretation.</w:t>
      </w:r>
    </w:p>
    <w:p w14:paraId="27EBF9A9"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22D58936" w14:textId="77777777" w:rsidR="00B0357F" w:rsidRPr="00B0357F" w:rsidRDefault="00B0357F" w:rsidP="00B0357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0357F">
        <w:rPr>
          <w:rFonts w:ascii="Times New Roman" w:eastAsia="Times New Roman" w:hAnsi="Times New Roman" w:cs="Times New Roman"/>
          <w:b/>
          <w:bCs/>
          <w:kern w:val="0"/>
          <w:sz w:val="27"/>
          <w:szCs w:val="27"/>
          <w14:ligatures w14:val="none"/>
        </w:rPr>
        <w:t>C. Hellenistic and Hasmonean Influence (332–63 BCE)</w:t>
      </w:r>
    </w:p>
    <w:p w14:paraId="74FD94A9"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3F3D1281"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After Alexander the Great’s conquest (332 BCE), Jewish life came under Hellenistic influence. Greek language, culture, and philosophy spread, causing tension between traditionalist and Hellenized Jews.</w:t>
      </w:r>
    </w:p>
    <w:p w14:paraId="24FBA320" w14:textId="77777777" w:rsidR="00B0357F" w:rsidRPr="00B0357F" w:rsidRDefault="00B0357F" w:rsidP="00B0357F">
      <w:pPr>
        <w:numPr>
          <w:ilvl w:val="0"/>
          <w:numId w:val="4"/>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 xml:space="preserve">The Seleucid king Antiochus IV </w:t>
      </w:r>
      <w:proofErr w:type="spellStart"/>
      <w:r w:rsidRPr="00B0357F">
        <w:rPr>
          <w:rFonts w:ascii="Times New Roman" w:hAnsi="Times New Roman" w:cs="Times New Roman"/>
          <w:kern w:val="0"/>
          <w14:ligatures w14:val="none"/>
        </w:rPr>
        <w:t>Epiphanes</w:t>
      </w:r>
      <w:proofErr w:type="spellEnd"/>
      <w:r w:rsidRPr="00B0357F">
        <w:rPr>
          <w:rFonts w:ascii="Times New Roman" w:hAnsi="Times New Roman" w:cs="Times New Roman"/>
          <w:kern w:val="0"/>
          <w14:ligatures w14:val="none"/>
        </w:rPr>
        <w:t xml:space="preserve"> desecrated the Temple in 167 BCE, sparking the Maccabean Revolt.</w:t>
      </w:r>
    </w:p>
    <w:p w14:paraId="64ADC84E" w14:textId="77777777" w:rsidR="00B0357F" w:rsidRPr="00B0357F" w:rsidRDefault="00B0357F" w:rsidP="00B0357F">
      <w:pPr>
        <w:numPr>
          <w:ilvl w:val="0"/>
          <w:numId w:val="4"/>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The Hasmoneans (Maccabees) regained control, cleansed the Temple (commemorated in Hanukkah), and established an independent priestly monarchy.</w:t>
      </w:r>
    </w:p>
    <w:p w14:paraId="79EA55B0"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2DE63CB8"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lastRenderedPageBreak/>
        <w:t>This period also gave rise to:</w:t>
      </w:r>
    </w:p>
    <w:p w14:paraId="74B43B61" w14:textId="77777777" w:rsidR="00B0357F" w:rsidRPr="00B0357F" w:rsidRDefault="00B0357F" w:rsidP="00B0357F">
      <w:pPr>
        <w:numPr>
          <w:ilvl w:val="0"/>
          <w:numId w:val="5"/>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Apocalyptic literature (e.g., Daniel, Enoch)</w:t>
      </w:r>
    </w:p>
    <w:p w14:paraId="4156DE97" w14:textId="77777777" w:rsidR="00B0357F" w:rsidRPr="00B0357F" w:rsidRDefault="00B0357F" w:rsidP="00B0357F">
      <w:pPr>
        <w:numPr>
          <w:ilvl w:val="0"/>
          <w:numId w:val="5"/>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Messianic and nationalist hopes for divine deliverance</w:t>
      </w:r>
    </w:p>
    <w:p w14:paraId="3CA62557" w14:textId="77777777" w:rsidR="00B0357F" w:rsidRPr="00B0357F" w:rsidRDefault="00B0357F" w:rsidP="00B0357F">
      <w:pPr>
        <w:numPr>
          <w:ilvl w:val="0"/>
          <w:numId w:val="5"/>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The beginnings of sectarian splits within Judaism</w:t>
      </w:r>
    </w:p>
    <w:p w14:paraId="4CF35651"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2E4347DB" w14:textId="77777777" w:rsidR="00B0357F" w:rsidRPr="00B0357F" w:rsidRDefault="00B0357F" w:rsidP="00B0357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0357F">
        <w:rPr>
          <w:rFonts w:ascii="Times New Roman" w:eastAsia="Times New Roman" w:hAnsi="Times New Roman" w:cs="Times New Roman"/>
          <w:b/>
          <w:bCs/>
          <w:kern w:val="0"/>
          <w:sz w:val="27"/>
          <w:szCs w:val="27"/>
          <w14:ligatures w14:val="none"/>
        </w:rPr>
        <w:t>D. Roman Period (63 BCE – 70 CE)</w:t>
      </w:r>
    </w:p>
    <w:p w14:paraId="66285BA5"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3550C6E6"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 xml:space="preserve">Rome took control in 63 BCE, and Herod the Great (37–4 BCE) became king, expanding the Temple magnificently. Despite architectural grandeur, many Jews saw the </w:t>
      </w:r>
      <w:proofErr w:type="spellStart"/>
      <w:r w:rsidRPr="00B0357F">
        <w:rPr>
          <w:rFonts w:ascii="Times New Roman" w:hAnsi="Times New Roman" w:cs="Times New Roman"/>
          <w:kern w:val="0"/>
          <w14:ligatures w14:val="none"/>
        </w:rPr>
        <w:t>Herodian</w:t>
      </w:r>
      <w:proofErr w:type="spellEnd"/>
      <w:r w:rsidRPr="00B0357F">
        <w:rPr>
          <w:rFonts w:ascii="Times New Roman" w:hAnsi="Times New Roman" w:cs="Times New Roman"/>
          <w:kern w:val="0"/>
          <w14:ligatures w14:val="none"/>
        </w:rPr>
        <w:t xml:space="preserve"> Temple as corrupt due to political manipulation and priestly elitism.</w:t>
      </w:r>
    </w:p>
    <w:p w14:paraId="76EB25FD"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361D6335"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Roman occupation fueled:</w:t>
      </w:r>
    </w:p>
    <w:p w14:paraId="2073AB51" w14:textId="77777777" w:rsidR="00B0357F" w:rsidRPr="00B0357F" w:rsidRDefault="00B0357F" w:rsidP="00B0357F">
      <w:pPr>
        <w:numPr>
          <w:ilvl w:val="0"/>
          <w:numId w:val="6"/>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Apocalyptic messianism</w:t>
      </w:r>
    </w:p>
    <w:p w14:paraId="10800BB5" w14:textId="77777777" w:rsidR="00B0357F" w:rsidRPr="00B0357F" w:rsidRDefault="00B0357F" w:rsidP="00B0357F">
      <w:pPr>
        <w:numPr>
          <w:ilvl w:val="0"/>
          <w:numId w:val="6"/>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Deep divisions between Jewish sects</w:t>
      </w:r>
    </w:p>
    <w:p w14:paraId="1B4DEAF5" w14:textId="77777777" w:rsidR="00B0357F" w:rsidRPr="00B0357F" w:rsidRDefault="00B0357F" w:rsidP="00B0357F">
      <w:pPr>
        <w:numPr>
          <w:ilvl w:val="0"/>
          <w:numId w:val="6"/>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Heightened resentment leading to the First Jewish–Roman War (66–73 CE) and the Temple’s destruction in 70 CE</w:t>
      </w:r>
    </w:p>
    <w:p w14:paraId="173B886E" w14:textId="77777777" w:rsidR="00B0357F" w:rsidRPr="00B0357F" w:rsidRDefault="00B0357F" w:rsidP="00B0357F">
      <w:pPr>
        <w:spacing w:after="0" w:line="240" w:lineRule="auto"/>
        <w:rPr>
          <w:rFonts w:ascii="Times New Roman" w:eastAsia="Times New Roman" w:hAnsi="Times New Roman" w:cs="Times New Roman"/>
          <w:kern w:val="0"/>
          <w14:ligatures w14:val="none"/>
        </w:rPr>
      </w:pPr>
      <w:r w:rsidRPr="00B0357F">
        <w:rPr>
          <w:rFonts w:ascii="Times New Roman" w:eastAsia="Times New Roman" w:hAnsi="Times New Roman" w:cs="Times New Roman"/>
          <w:noProof/>
          <w:kern w:val="0"/>
          <w14:ligatures w14:val="none"/>
        </w:rPr>
        <mc:AlternateContent>
          <mc:Choice Requires="wps">
            <w:drawing>
              <wp:inline distT="0" distB="0" distL="0" distR="0" wp14:anchorId="4F85BDDF" wp14:editId="58D1FDA9">
                <wp:extent cx="5943600" cy="1270"/>
                <wp:effectExtent l="0" t="31750" r="0" b="36830"/>
                <wp:docPr id="156702713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75430DE4" id="Rectangle 3"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61EDAC1D" w14:textId="77777777" w:rsidR="00B0357F" w:rsidRPr="00B0357F" w:rsidRDefault="00B0357F" w:rsidP="00B0357F">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B0357F">
        <w:rPr>
          <w:rFonts w:ascii="Times New Roman" w:eastAsia="Times New Roman" w:hAnsi="Times New Roman" w:cs="Times New Roman"/>
          <w:b/>
          <w:bCs/>
          <w:kern w:val="0"/>
          <w:sz w:val="36"/>
          <w:szCs w:val="36"/>
          <w14:ligatures w14:val="none"/>
        </w:rPr>
        <w:t>3. Groups and Beliefs: The Four Sects in Jesus’ Time</w:t>
      </w:r>
    </w:p>
    <w:p w14:paraId="75F0D1AA"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32A84DA3"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By the 1st century CE, four primary sects of Judaism had emerged, each interacting with and reacting to Jesus in the New Testament:</w:t>
      </w:r>
    </w:p>
    <w:p w14:paraId="7DB728D3"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76A612D9" w14:textId="77777777" w:rsidR="00B0357F" w:rsidRPr="00B0357F" w:rsidRDefault="00B0357F" w:rsidP="00B0357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0357F">
        <w:rPr>
          <w:rFonts w:ascii="Times New Roman" w:eastAsia="Times New Roman" w:hAnsi="Times New Roman" w:cs="Times New Roman"/>
          <w:b/>
          <w:bCs/>
          <w:kern w:val="0"/>
          <w:sz w:val="27"/>
          <w:szCs w:val="27"/>
          <w14:ligatures w14:val="none"/>
        </w:rPr>
        <w:t>1. Pharisees</w:t>
      </w:r>
    </w:p>
    <w:p w14:paraId="5C2DF3C2" w14:textId="77777777" w:rsidR="00B0357F" w:rsidRPr="00B0357F" w:rsidRDefault="00B0357F" w:rsidP="00B0357F">
      <w:pPr>
        <w:numPr>
          <w:ilvl w:val="0"/>
          <w:numId w:val="7"/>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Beliefs: Emphasized oral law, strict Torah observance, belief in resurrection, angels, and divine judgment.</w:t>
      </w:r>
    </w:p>
    <w:p w14:paraId="69ED4D17" w14:textId="77777777" w:rsidR="00B0357F" w:rsidRPr="00B0357F" w:rsidRDefault="00B0357F" w:rsidP="00B0357F">
      <w:pPr>
        <w:numPr>
          <w:ilvl w:val="0"/>
          <w:numId w:val="7"/>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Social role: Popular among the people, influential in synagogues and the Sanhedrin.</w:t>
      </w:r>
    </w:p>
    <w:p w14:paraId="4FB34F9C" w14:textId="77777777" w:rsidR="00B0357F" w:rsidRPr="00B0357F" w:rsidRDefault="00B0357F" w:rsidP="00B0357F">
      <w:pPr>
        <w:numPr>
          <w:ilvl w:val="0"/>
          <w:numId w:val="7"/>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Conflict with Jesus: Jesus often debated Pharisees on matters of legalism, Sabbath, and hypocrisy (e.g., Matthew 23). Yet, Jesus’ teachings also aligned with them in many areas (e.g., resurrection).</w:t>
      </w:r>
    </w:p>
    <w:p w14:paraId="2D01EEDC" w14:textId="77777777" w:rsidR="00B0357F" w:rsidRPr="00B0357F" w:rsidRDefault="00B0357F" w:rsidP="00B0357F">
      <w:pPr>
        <w:numPr>
          <w:ilvl w:val="0"/>
          <w:numId w:val="7"/>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lastRenderedPageBreak/>
        <w:t>Legacy: After 70 CE, the Pharisaic model evolved into Rabbinic Judaism, the basis of post-Temple Jewish life.</w:t>
      </w:r>
    </w:p>
    <w:p w14:paraId="3E3549EF"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1D6231C3" w14:textId="77777777" w:rsidR="00B0357F" w:rsidRPr="00B0357F" w:rsidRDefault="00B0357F" w:rsidP="00B0357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0357F">
        <w:rPr>
          <w:rFonts w:ascii="Times New Roman" w:eastAsia="Times New Roman" w:hAnsi="Times New Roman" w:cs="Times New Roman"/>
          <w:b/>
          <w:bCs/>
          <w:kern w:val="0"/>
          <w:sz w:val="27"/>
          <w:szCs w:val="27"/>
          <w14:ligatures w14:val="none"/>
        </w:rPr>
        <w:t>2. Sadducees</w:t>
      </w:r>
    </w:p>
    <w:p w14:paraId="5B1BDACF" w14:textId="77777777" w:rsidR="00B0357F" w:rsidRPr="00B0357F" w:rsidRDefault="00B0357F" w:rsidP="00B0357F">
      <w:pPr>
        <w:numPr>
          <w:ilvl w:val="0"/>
          <w:numId w:val="8"/>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Beliefs: Rejected oral law, denied resurrection, angels, and the afterlife. Strictly adhered to written Torah.</w:t>
      </w:r>
    </w:p>
    <w:p w14:paraId="56A6104A" w14:textId="77777777" w:rsidR="00B0357F" w:rsidRPr="00B0357F" w:rsidRDefault="00B0357F" w:rsidP="00B0357F">
      <w:pPr>
        <w:numPr>
          <w:ilvl w:val="0"/>
          <w:numId w:val="8"/>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Social role: Elite priestly class, controlled the Temple and dominated the Sanhedrin.</w:t>
      </w:r>
    </w:p>
    <w:p w14:paraId="3BCBBF99" w14:textId="77777777" w:rsidR="00B0357F" w:rsidRPr="00B0357F" w:rsidRDefault="00B0357F" w:rsidP="00B0357F">
      <w:pPr>
        <w:numPr>
          <w:ilvl w:val="0"/>
          <w:numId w:val="8"/>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Conflict with Jesus: Jesus refuted their views on resurrection (Matthew 22:23–33).</w:t>
      </w:r>
    </w:p>
    <w:p w14:paraId="12822CD2" w14:textId="77777777" w:rsidR="00B0357F" w:rsidRPr="00B0357F" w:rsidRDefault="00B0357F" w:rsidP="00B0357F">
      <w:pPr>
        <w:numPr>
          <w:ilvl w:val="0"/>
          <w:numId w:val="8"/>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Demise: Disappeared after the destruction of the Temple, losing their institutional base.</w:t>
      </w:r>
    </w:p>
    <w:p w14:paraId="26FE3EC5"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02BAD42D" w14:textId="77777777" w:rsidR="00B0357F" w:rsidRPr="00B0357F" w:rsidRDefault="00B0357F" w:rsidP="00B0357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0357F">
        <w:rPr>
          <w:rFonts w:ascii="Times New Roman" w:eastAsia="Times New Roman" w:hAnsi="Times New Roman" w:cs="Times New Roman"/>
          <w:b/>
          <w:bCs/>
          <w:kern w:val="0"/>
          <w:sz w:val="27"/>
          <w:szCs w:val="27"/>
          <w14:ligatures w14:val="none"/>
        </w:rPr>
        <w:t>3. Essenes</w:t>
      </w:r>
    </w:p>
    <w:p w14:paraId="546A7632" w14:textId="77777777" w:rsidR="00B0357F" w:rsidRPr="00B0357F" w:rsidRDefault="00B0357F" w:rsidP="00B0357F">
      <w:pPr>
        <w:numPr>
          <w:ilvl w:val="0"/>
          <w:numId w:val="9"/>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 xml:space="preserve">Beliefs: Sought purity, lived in communal isolation, rejected the Jerusalem priesthood as corrupt. Emphasized </w:t>
      </w:r>
      <w:proofErr w:type="spellStart"/>
      <w:r w:rsidRPr="00B0357F">
        <w:rPr>
          <w:rFonts w:ascii="Times New Roman" w:hAnsi="Times New Roman" w:cs="Times New Roman"/>
          <w:kern w:val="0"/>
          <w14:ligatures w14:val="none"/>
        </w:rPr>
        <w:t>apocalypticism</w:t>
      </w:r>
      <w:proofErr w:type="spellEnd"/>
      <w:r w:rsidRPr="00B0357F">
        <w:rPr>
          <w:rFonts w:ascii="Times New Roman" w:hAnsi="Times New Roman" w:cs="Times New Roman"/>
          <w:kern w:val="0"/>
          <w14:ligatures w14:val="none"/>
        </w:rPr>
        <w:t>, dualism, and strict Torah adherence.</w:t>
      </w:r>
    </w:p>
    <w:p w14:paraId="134550AF" w14:textId="77777777" w:rsidR="00B0357F" w:rsidRPr="00B0357F" w:rsidRDefault="00B0357F" w:rsidP="00B0357F">
      <w:pPr>
        <w:numPr>
          <w:ilvl w:val="0"/>
          <w:numId w:val="9"/>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Location: Associated with Qumran, where the Dead Sea Scrolls were found.</w:t>
      </w:r>
    </w:p>
    <w:p w14:paraId="6534FEFF" w14:textId="77777777" w:rsidR="00B0357F" w:rsidRPr="00B0357F" w:rsidRDefault="00B0357F" w:rsidP="00B0357F">
      <w:pPr>
        <w:numPr>
          <w:ilvl w:val="0"/>
          <w:numId w:val="9"/>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Jesus and the Essenes: No direct mention in the NT, but parallels exist in language (e.g., “Sons of Light”), baptismal practices, and apocalyptic thought.</w:t>
      </w:r>
    </w:p>
    <w:p w14:paraId="3D276A08" w14:textId="77777777" w:rsidR="00B0357F" w:rsidRPr="00B0357F" w:rsidRDefault="00B0357F" w:rsidP="00B0357F">
      <w:pPr>
        <w:numPr>
          <w:ilvl w:val="0"/>
          <w:numId w:val="9"/>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Fate: Likely destroyed by Rome during the Jewish revolt.</w:t>
      </w:r>
    </w:p>
    <w:p w14:paraId="2C1B963D"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395F7A20" w14:textId="77777777" w:rsidR="00B0357F" w:rsidRPr="00B0357F" w:rsidRDefault="00B0357F" w:rsidP="00B0357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0357F">
        <w:rPr>
          <w:rFonts w:ascii="Times New Roman" w:eastAsia="Times New Roman" w:hAnsi="Times New Roman" w:cs="Times New Roman"/>
          <w:b/>
          <w:bCs/>
          <w:kern w:val="0"/>
          <w:sz w:val="27"/>
          <w:szCs w:val="27"/>
          <w14:ligatures w14:val="none"/>
        </w:rPr>
        <w:t>4. Zealots</w:t>
      </w:r>
    </w:p>
    <w:p w14:paraId="1EDD00E8" w14:textId="77777777" w:rsidR="00B0357F" w:rsidRPr="00B0357F" w:rsidRDefault="00B0357F" w:rsidP="00B0357F">
      <w:pPr>
        <w:numPr>
          <w:ilvl w:val="0"/>
          <w:numId w:val="10"/>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Beliefs: Political revolutionaries who believed in violent resistance to Rome as an act of faith.</w:t>
      </w:r>
    </w:p>
    <w:p w14:paraId="1F78919C" w14:textId="77777777" w:rsidR="00B0357F" w:rsidRPr="00B0357F" w:rsidRDefault="00B0357F" w:rsidP="00B0357F">
      <w:pPr>
        <w:numPr>
          <w:ilvl w:val="0"/>
          <w:numId w:val="10"/>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Goal: Overthrow Roman rule and reestablish Jewish sovereignty under God.</w:t>
      </w:r>
    </w:p>
    <w:p w14:paraId="6F76D287" w14:textId="77777777" w:rsidR="00B0357F" w:rsidRPr="00B0357F" w:rsidRDefault="00B0357F" w:rsidP="00B0357F">
      <w:pPr>
        <w:numPr>
          <w:ilvl w:val="0"/>
          <w:numId w:val="10"/>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Jesus and the Zealots: One disciple, Simon the Zealot, may have had ties to the movement, but Jesus opposed violence as a means to usher in God’s kingdom (Matthew 26:52).</w:t>
      </w:r>
    </w:p>
    <w:p w14:paraId="3C778279" w14:textId="77777777" w:rsidR="00B0357F" w:rsidRPr="00B0357F" w:rsidRDefault="00B0357F" w:rsidP="00B0357F">
      <w:pPr>
        <w:numPr>
          <w:ilvl w:val="0"/>
          <w:numId w:val="10"/>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Outcome: Played a key role in the revolt of 66–70 CE, which ended in Jerusalem’s destruction.</w:t>
      </w:r>
    </w:p>
    <w:p w14:paraId="4FD53858" w14:textId="77777777" w:rsidR="00B0357F" w:rsidRPr="00B0357F" w:rsidRDefault="00B0357F" w:rsidP="00B0357F">
      <w:pPr>
        <w:spacing w:after="0" w:line="240" w:lineRule="auto"/>
        <w:rPr>
          <w:rFonts w:ascii="Times New Roman" w:eastAsia="Times New Roman" w:hAnsi="Times New Roman" w:cs="Times New Roman"/>
          <w:kern w:val="0"/>
          <w14:ligatures w14:val="none"/>
        </w:rPr>
      </w:pPr>
      <w:r w:rsidRPr="00B0357F">
        <w:rPr>
          <w:rFonts w:ascii="Times New Roman" w:eastAsia="Times New Roman" w:hAnsi="Times New Roman" w:cs="Times New Roman"/>
          <w:noProof/>
          <w:kern w:val="0"/>
          <w14:ligatures w14:val="none"/>
        </w:rPr>
        <mc:AlternateContent>
          <mc:Choice Requires="wps">
            <w:drawing>
              <wp:inline distT="0" distB="0" distL="0" distR="0" wp14:anchorId="0AFD1A95" wp14:editId="2AF185F8">
                <wp:extent cx="5943600" cy="1270"/>
                <wp:effectExtent l="0" t="31750" r="0" b="36830"/>
                <wp:docPr id="62883185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35AB271C" id="Rectangle 2"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41DF6062" w14:textId="77777777" w:rsidR="00B0357F" w:rsidRPr="00B0357F" w:rsidRDefault="00B0357F" w:rsidP="00B0357F">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B0357F">
        <w:rPr>
          <w:rFonts w:ascii="Times New Roman" w:eastAsia="Times New Roman" w:hAnsi="Times New Roman" w:cs="Times New Roman"/>
          <w:b/>
          <w:bCs/>
          <w:kern w:val="0"/>
          <w:sz w:val="36"/>
          <w:szCs w:val="36"/>
          <w14:ligatures w14:val="none"/>
        </w:rPr>
        <w:t>Conclusion</w:t>
      </w:r>
    </w:p>
    <w:p w14:paraId="31817654"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4EA54F7A"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The Second Temple period was a transformative epoch in Jewish history. The religious expressions that emerged—ranging from Temple-based ritualism to apocalyptic withdrawal—</w:t>
      </w:r>
      <w:r w:rsidRPr="00B0357F">
        <w:rPr>
          <w:rFonts w:ascii="Times New Roman" w:hAnsi="Times New Roman" w:cs="Times New Roman"/>
          <w:kern w:val="0"/>
          <w14:ligatures w14:val="none"/>
        </w:rPr>
        <w:lastRenderedPageBreak/>
        <w:t>formed the backdrop against which Jesus preached, taught, and clashed. His interactions with the Pharisees, Sadducees, Essenes (indirectly), and Zealots reveal the rich plurality of Second Temple Judaism and offer insights into the continuities and ruptures between Judaism and early Christianity.</w:t>
      </w:r>
    </w:p>
    <w:p w14:paraId="36E6E8CB"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p>
    <w:p w14:paraId="537D75AF" w14:textId="77777777" w:rsidR="00B0357F" w:rsidRPr="00B0357F" w:rsidRDefault="00B0357F" w:rsidP="00B0357F">
      <w:p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The destruction of the Second Temple in 70 CE marked the end of one era and the beginning of another: Rabbinic Judaism and the Christian church would emerge from the fragments of this complex period, each claiming continuity with Israel’s ancient story.</w:t>
      </w:r>
    </w:p>
    <w:p w14:paraId="0F188E6C" w14:textId="77777777" w:rsidR="00B0357F" w:rsidRPr="00B0357F" w:rsidRDefault="00B0357F" w:rsidP="00B0357F">
      <w:pPr>
        <w:spacing w:after="0" w:line="240" w:lineRule="auto"/>
        <w:rPr>
          <w:rFonts w:ascii="Times New Roman" w:eastAsia="Times New Roman" w:hAnsi="Times New Roman" w:cs="Times New Roman"/>
          <w:kern w:val="0"/>
          <w14:ligatures w14:val="none"/>
        </w:rPr>
      </w:pPr>
      <w:r w:rsidRPr="00B0357F">
        <w:rPr>
          <w:rFonts w:ascii="Times New Roman" w:eastAsia="Times New Roman" w:hAnsi="Times New Roman" w:cs="Times New Roman"/>
          <w:noProof/>
          <w:kern w:val="0"/>
          <w14:ligatures w14:val="none"/>
        </w:rPr>
        <mc:AlternateContent>
          <mc:Choice Requires="wps">
            <w:drawing>
              <wp:inline distT="0" distB="0" distL="0" distR="0" wp14:anchorId="0EAD4BA5" wp14:editId="293BB689">
                <wp:extent cx="5943600" cy="1270"/>
                <wp:effectExtent l="0" t="33020" r="0" b="38100"/>
                <wp:docPr id="26210439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456F9CB4"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3C1C8287" w14:textId="77777777" w:rsidR="00B0357F" w:rsidRPr="00B0357F" w:rsidRDefault="00B0357F" w:rsidP="00B0357F">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B0357F">
        <w:rPr>
          <w:rFonts w:ascii="Times New Roman" w:eastAsia="Times New Roman" w:hAnsi="Times New Roman" w:cs="Times New Roman"/>
          <w:b/>
          <w:bCs/>
          <w:kern w:val="0"/>
          <w:sz w:val="36"/>
          <w:szCs w:val="36"/>
          <w14:ligatures w14:val="none"/>
        </w:rPr>
        <w:t>Bibliography</w:t>
      </w:r>
    </w:p>
    <w:p w14:paraId="2CC83ED9" w14:textId="77777777" w:rsidR="00B0357F" w:rsidRPr="00B0357F" w:rsidRDefault="00B0357F" w:rsidP="00B0357F">
      <w:pPr>
        <w:numPr>
          <w:ilvl w:val="0"/>
          <w:numId w:val="11"/>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Collins, J. J. (2000). Between Athens and Jerusalem: Jewish Identity in the Hellenistic Diaspora. Eerdmans.</w:t>
      </w:r>
    </w:p>
    <w:p w14:paraId="191FE174" w14:textId="77777777" w:rsidR="00B0357F" w:rsidRPr="00B0357F" w:rsidRDefault="00B0357F" w:rsidP="00B0357F">
      <w:pPr>
        <w:numPr>
          <w:ilvl w:val="0"/>
          <w:numId w:val="11"/>
        </w:numPr>
        <w:spacing w:before="100" w:beforeAutospacing="1" w:after="100" w:afterAutospacing="1" w:line="240" w:lineRule="auto"/>
        <w:rPr>
          <w:rFonts w:ascii="Times New Roman" w:hAnsi="Times New Roman" w:cs="Times New Roman"/>
          <w:kern w:val="0"/>
          <w14:ligatures w14:val="none"/>
        </w:rPr>
      </w:pPr>
      <w:proofErr w:type="spellStart"/>
      <w:r w:rsidRPr="00B0357F">
        <w:rPr>
          <w:rFonts w:ascii="Times New Roman" w:hAnsi="Times New Roman" w:cs="Times New Roman"/>
          <w:kern w:val="0"/>
          <w14:ligatures w14:val="none"/>
        </w:rPr>
        <w:t>Grabbe</w:t>
      </w:r>
      <w:proofErr w:type="spellEnd"/>
      <w:r w:rsidRPr="00B0357F">
        <w:rPr>
          <w:rFonts w:ascii="Times New Roman" w:hAnsi="Times New Roman" w:cs="Times New Roman"/>
          <w:kern w:val="0"/>
          <w14:ligatures w14:val="none"/>
        </w:rPr>
        <w:t>, L. L. (2004). A History of the Jews and Judaism in the Second Temple Period. T&amp;T Clark.</w:t>
      </w:r>
    </w:p>
    <w:p w14:paraId="7718D1B7" w14:textId="77777777" w:rsidR="00B0357F" w:rsidRPr="00B0357F" w:rsidRDefault="00B0357F" w:rsidP="00B0357F">
      <w:pPr>
        <w:numPr>
          <w:ilvl w:val="0"/>
          <w:numId w:val="11"/>
        </w:numPr>
        <w:spacing w:before="100" w:beforeAutospacing="1" w:after="100" w:afterAutospacing="1" w:line="240" w:lineRule="auto"/>
        <w:rPr>
          <w:rFonts w:ascii="Times New Roman" w:hAnsi="Times New Roman" w:cs="Times New Roman"/>
          <w:kern w:val="0"/>
          <w14:ligatures w14:val="none"/>
        </w:rPr>
      </w:pPr>
      <w:proofErr w:type="spellStart"/>
      <w:r w:rsidRPr="00B0357F">
        <w:rPr>
          <w:rFonts w:ascii="Times New Roman" w:hAnsi="Times New Roman" w:cs="Times New Roman"/>
          <w:kern w:val="0"/>
          <w14:ligatures w14:val="none"/>
        </w:rPr>
        <w:t>Magness</w:t>
      </w:r>
      <w:proofErr w:type="spellEnd"/>
      <w:r w:rsidRPr="00B0357F">
        <w:rPr>
          <w:rFonts w:ascii="Times New Roman" w:hAnsi="Times New Roman" w:cs="Times New Roman"/>
          <w:kern w:val="0"/>
          <w14:ligatures w14:val="none"/>
        </w:rPr>
        <w:t>, J. (2002). The Archaeology of Qumran and the Dead Sea Scrolls. Eerdmans.</w:t>
      </w:r>
    </w:p>
    <w:p w14:paraId="0E324AA0" w14:textId="77777777" w:rsidR="00B0357F" w:rsidRPr="00B0357F" w:rsidRDefault="00B0357F" w:rsidP="00B0357F">
      <w:pPr>
        <w:numPr>
          <w:ilvl w:val="0"/>
          <w:numId w:val="11"/>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Sanders, E. P. (1992). Judaism: Practice and Belief, 63 BCE–66 CE. Trinity Press International.</w:t>
      </w:r>
    </w:p>
    <w:p w14:paraId="3A659A3E" w14:textId="77777777" w:rsidR="00B0357F" w:rsidRPr="00B0357F" w:rsidRDefault="00B0357F" w:rsidP="00B0357F">
      <w:pPr>
        <w:numPr>
          <w:ilvl w:val="0"/>
          <w:numId w:val="11"/>
        </w:numPr>
        <w:spacing w:before="100" w:beforeAutospacing="1" w:after="100" w:afterAutospacing="1" w:line="240" w:lineRule="auto"/>
        <w:rPr>
          <w:rFonts w:ascii="Times New Roman" w:hAnsi="Times New Roman" w:cs="Times New Roman"/>
          <w:kern w:val="0"/>
          <w14:ligatures w14:val="none"/>
        </w:rPr>
      </w:pPr>
      <w:proofErr w:type="spellStart"/>
      <w:r w:rsidRPr="00B0357F">
        <w:rPr>
          <w:rFonts w:ascii="Times New Roman" w:hAnsi="Times New Roman" w:cs="Times New Roman"/>
          <w:kern w:val="0"/>
          <w14:ligatures w14:val="none"/>
        </w:rPr>
        <w:t>Schiffman</w:t>
      </w:r>
      <w:proofErr w:type="spellEnd"/>
      <w:r w:rsidRPr="00B0357F">
        <w:rPr>
          <w:rFonts w:ascii="Times New Roman" w:hAnsi="Times New Roman" w:cs="Times New Roman"/>
          <w:kern w:val="0"/>
          <w14:ligatures w14:val="none"/>
        </w:rPr>
        <w:t>, L. H. (1994). Reclaiming the Dead Sea Scrolls. Jewish Publication Society.</w:t>
      </w:r>
    </w:p>
    <w:p w14:paraId="66DB0640" w14:textId="77777777" w:rsidR="00B0357F" w:rsidRPr="00B0357F" w:rsidRDefault="00B0357F" w:rsidP="00B0357F">
      <w:pPr>
        <w:numPr>
          <w:ilvl w:val="0"/>
          <w:numId w:val="11"/>
        </w:numPr>
        <w:spacing w:before="100" w:beforeAutospacing="1" w:after="100" w:afterAutospacing="1" w:line="240" w:lineRule="auto"/>
        <w:rPr>
          <w:rFonts w:ascii="Times New Roman" w:hAnsi="Times New Roman" w:cs="Times New Roman"/>
          <w:kern w:val="0"/>
          <w14:ligatures w14:val="none"/>
        </w:rPr>
      </w:pPr>
      <w:proofErr w:type="spellStart"/>
      <w:r w:rsidRPr="00B0357F">
        <w:rPr>
          <w:rFonts w:ascii="Times New Roman" w:hAnsi="Times New Roman" w:cs="Times New Roman"/>
          <w:kern w:val="0"/>
          <w14:ligatures w14:val="none"/>
        </w:rPr>
        <w:t>Vermes</w:t>
      </w:r>
      <w:proofErr w:type="spellEnd"/>
      <w:r w:rsidRPr="00B0357F">
        <w:rPr>
          <w:rFonts w:ascii="Times New Roman" w:hAnsi="Times New Roman" w:cs="Times New Roman"/>
          <w:kern w:val="0"/>
          <w14:ligatures w14:val="none"/>
        </w:rPr>
        <w:t>, G. (2012). The Complete Dead Sea Scrolls in English (7th ed.). Penguin Classics.</w:t>
      </w:r>
    </w:p>
    <w:p w14:paraId="7B8BBB42" w14:textId="77777777" w:rsidR="00B0357F" w:rsidRPr="00B0357F" w:rsidRDefault="00B0357F" w:rsidP="00B0357F">
      <w:pPr>
        <w:numPr>
          <w:ilvl w:val="0"/>
          <w:numId w:val="11"/>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Wright, N. T. (1996). Jesus and the Victory of God. Fortress Press.</w:t>
      </w:r>
    </w:p>
    <w:p w14:paraId="3A9BD667" w14:textId="77777777" w:rsidR="00B0357F" w:rsidRPr="00B0357F" w:rsidRDefault="00B0357F" w:rsidP="00B0357F">
      <w:pPr>
        <w:numPr>
          <w:ilvl w:val="0"/>
          <w:numId w:val="11"/>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Goodman, M. (2007). Rome and Jerusalem: The Clash of Ancient Civilizations. Vintage.</w:t>
      </w:r>
    </w:p>
    <w:p w14:paraId="077CF7D3" w14:textId="77777777" w:rsidR="00B0357F" w:rsidRPr="00B0357F" w:rsidRDefault="00B0357F" w:rsidP="00B0357F">
      <w:pPr>
        <w:numPr>
          <w:ilvl w:val="0"/>
          <w:numId w:val="11"/>
        </w:numPr>
        <w:spacing w:before="100" w:beforeAutospacing="1" w:after="100" w:afterAutospacing="1" w:line="240" w:lineRule="auto"/>
        <w:rPr>
          <w:rFonts w:ascii="Times New Roman" w:hAnsi="Times New Roman" w:cs="Times New Roman"/>
          <w:kern w:val="0"/>
          <w14:ligatures w14:val="none"/>
        </w:rPr>
      </w:pPr>
      <w:r w:rsidRPr="00B0357F">
        <w:rPr>
          <w:rFonts w:ascii="Times New Roman" w:hAnsi="Times New Roman" w:cs="Times New Roman"/>
          <w:kern w:val="0"/>
          <w14:ligatures w14:val="none"/>
        </w:rPr>
        <w:t>Josephus, F. (c. 75 CE). The Jewish War. Trans. G. A. Williamson. Penguin Classics.</w:t>
      </w:r>
    </w:p>
    <w:p w14:paraId="603C1B4A" w14:textId="77777777" w:rsidR="00B0357F" w:rsidRPr="00B0357F" w:rsidRDefault="00B0357F" w:rsidP="00B0357F">
      <w:pPr>
        <w:numPr>
          <w:ilvl w:val="0"/>
          <w:numId w:val="11"/>
        </w:numPr>
        <w:spacing w:before="100" w:beforeAutospacing="1" w:after="100" w:afterAutospacing="1" w:line="240" w:lineRule="auto"/>
        <w:rPr>
          <w:rFonts w:ascii="Times New Roman" w:hAnsi="Times New Roman" w:cs="Times New Roman"/>
          <w:kern w:val="0"/>
          <w14:ligatures w14:val="none"/>
        </w:rPr>
      </w:pPr>
      <w:proofErr w:type="spellStart"/>
      <w:r w:rsidRPr="00B0357F">
        <w:rPr>
          <w:rFonts w:ascii="Times New Roman" w:hAnsi="Times New Roman" w:cs="Times New Roman"/>
          <w:kern w:val="0"/>
          <w14:ligatures w14:val="none"/>
        </w:rPr>
        <w:t>Neusner</w:t>
      </w:r>
      <w:proofErr w:type="spellEnd"/>
      <w:r w:rsidRPr="00B0357F">
        <w:rPr>
          <w:rFonts w:ascii="Times New Roman" w:hAnsi="Times New Roman" w:cs="Times New Roman"/>
          <w:kern w:val="0"/>
          <w14:ligatures w14:val="none"/>
        </w:rPr>
        <w:t>, J. (1987). The Rabbinic Traditions about the Pharisees before 70. Brill.</w:t>
      </w:r>
    </w:p>
    <w:p w14:paraId="0F54BBA9" w14:textId="77777777" w:rsidR="00B0357F" w:rsidRDefault="00B0357F"/>
    <w:sectPr w:rsidR="00B035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91DF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16129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B31E3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E669B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9A1E6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8207D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8870B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6A6B5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99669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2BB678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D42CD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8195934">
    <w:abstractNumId w:val="8"/>
  </w:num>
  <w:num w:numId="2" w16cid:durableId="1080830959">
    <w:abstractNumId w:val="9"/>
  </w:num>
  <w:num w:numId="3" w16cid:durableId="1193348600">
    <w:abstractNumId w:val="4"/>
  </w:num>
  <w:num w:numId="4" w16cid:durableId="1886795685">
    <w:abstractNumId w:val="1"/>
  </w:num>
  <w:num w:numId="5" w16cid:durableId="739252233">
    <w:abstractNumId w:val="10"/>
  </w:num>
  <w:num w:numId="6" w16cid:durableId="1865703895">
    <w:abstractNumId w:val="5"/>
  </w:num>
  <w:num w:numId="7" w16cid:durableId="479272461">
    <w:abstractNumId w:val="6"/>
  </w:num>
  <w:num w:numId="8" w16cid:durableId="277224314">
    <w:abstractNumId w:val="2"/>
  </w:num>
  <w:num w:numId="9" w16cid:durableId="1126461104">
    <w:abstractNumId w:val="7"/>
  </w:num>
  <w:num w:numId="10" w16cid:durableId="758867037">
    <w:abstractNumId w:val="3"/>
  </w:num>
  <w:num w:numId="11" w16cid:durableId="18206829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57F"/>
    <w:rsid w:val="009D2005"/>
    <w:rsid w:val="00B035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46EED81"/>
  <w15:chartTrackingRefBased/>
  <w15:docId w15:val="{0F80AB21-6838-F940-852E-5BD5CAAFD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35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035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035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35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35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35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35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35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35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35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35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35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35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35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35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35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35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357F"/>
    <w:rPr>
      <w:rFonts w:eastAsiaTheme="majorEastAsia" w:cstheme="majorBidi"/>
      <w:color w:val="272727" w:themeColor="text1" w:themeTint="D8"/>
    </w:rPr>
  </w:style>
  <w:style w:type="paragraph" w:styleId="Title">
    <w:name w:val="Title"/>
    <w:basedOn w:val="Normal"/>
    <w:next w:val="Normal"/>
    <w:link w:val="TitleChar"/>
    <w:uiPriority w:val="10"/>
    <w:qFormat/>
    <w:rsid w:val="00B035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35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35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35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357F"/>
    <w:pPr>
      <w:spacing w:before="160"/>
      <w:jc w:val="center"/>
    </w:pPr>
    <w:rPr>
      <w:i/>
      <w:iCs/>
      <w:color w:val="404040" w:themeColor="text1" w:themeTint="BF"/>
    </w:rPr>
  </w:style>
  <w:style w:type="character" w:customStyle="1" w:styleId="QuoteChar">
    <w:name w:val="Quote Char"/>
    <w:basedOn w:val="DefaultParagraphFont"/>
    <w:link w:val="Quote"/>
    <w:uiPriority w:val="29"/>
    <w:rsid w:val="00B0357F"/>
    <w:rPr>
      <w:i/>
      <w:iCs/>
      <w:color w:val="404040" w:themeColor="text1" w:themeTint="BF"/>
    </w:rPr>
  </w:style>
  <w:style w:type="paragraph" w:styleId="ListParagraph">
    <w:name w:val="List Paragraph"/>
    <w:basedOn w:val="Normal"/>
    <w:uiPriority w:val="34"/>
    <w:qFormat/>
    <w:rsid w:val="00B0357F"/>
    <w:pPr>
      <w:ind w:left="720"/>
      <w:contextualSpacing/>
    </w:pPr>
  </w:style>
  <w:style w:type="character" w:styleId="IntenseEmphasis">
    <w:name w:val="Intense Emphasis"/>
    <w:basedOn w:val="DefaultParagraphFont"/>
    <w:uiPriority w:val="21"/>
    <w:qFormat/>
    <w:rsid w:val="00B0357F"/>
    <w:rPr>
      <w:i/>
      <w:iCs/>
      <w:color w:val="0F4761" w:themeColor="accent1" w:themeShade="BF"/>
    </w:rPr>
  </w:style>
  <w:style w:type="paragraph" w:styleId="IntenseQuote">
    <w:name w:val="Intense Quote"/>
    <w:basedOn w:val="Normal"/>
    <w:next w:val="Normal"/>
    <w:link w:val="IntenseQuoteChar"/>
    <w:uiPriority w:val="30"/>
    <w:qFormat/>
    <w:rsid w:val="00B035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357F"/>
    <w:rPr>
      <w:i/>
      <w:iCs/>
      <w:color w:val="0F4761" w:themeColor="accent1" w:themeShade="BF"/>
    </w:rPr>
  </w:style>
  <w:style w:type="character" w:styleId="IntenseReference">
    <w:name w:val="Intense Reference"/>
    <w:basedOn w:val="DefaultParagraphFont"/>
    <w:uiPriority w:val="32"/>
    <w:qFormat/>
    <w:rsid w:val="00B0357F"/>
    <w:rPr>
      <w:b/>
      <w:bCs/>
      <w:smallCaps/>
      <w:color w:val="0F4761" w:themeColor="accent1" w:themeShade="BF"/>
      <w:spacing w:val="5"/>
    </w:rPr>
  </w:style>
  <w:style w:type="paragraph" w:customStyle="1" w:styleId="p1">
    <w:name w:val="p1"/>
    <w:basedOn w:val="Normal"/>
    <w:rsid w:val="00B0357F"/>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B0357F"/>
  </w:style>
  <w:style w:type="paragraph" w:customStyle="1" w:styleId="p2">
    <w:name w:val="p2"/>
    <w:basedOn w:val="Normal"/>
    <w:rsid w:val="00B0357F"/>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DefaultParagraphFont"/>
    <w:rsid w:val="00B0357F"/>
  </w:style>
  <w:style w:type="paragraph" w:customStyle="1" w:styleId="p3">
    <w:name w:val="p3"/>
    <w:basedOn w:val="Normal"/>
    <w:rsid w:val="00B0357F"/>
    <w:pPr>
      <w:spacing w:before="100" w:beforeAutospacing="1" w:after="100" w:afterAutospacing="1" w:line="240" w:lineRule="auto"/>
    </w:pPr>
    <w:rPr>
      <w:rFonts w:ascii="Times New Roman" w:hAnsi="Times New Roman" w:cs="Times New Roman"/>
      <w:kern w:val="0"/>
      <w14:ligatures w14:val="none"/>
    </w:rPr>
  </w:style>
  <w:style w:type="character" w:customStyle="1" w:styleId="s3">
    <w:name w:val="s3"/>
    <w:basedOn w:val="DefaultParagraphFont"/>
    <w:rsid w:val="00B035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1137</Words>
  <Characters>6484</Characters>
  <Application>Microsoft Office Word</Application>
  <DocSecurity>0</DocSecurity>
  <Lines>54</Lines>
  <Paragraphs>15</Paragraphs>
  <ScaleCrop>false</ScaleCrop>
  <Company/>
  <LinksUpToDate>false</LinksUpToDate>
  <CharactersWithSpaces>7606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Ferguson</dc:creator>
  <cp:keywords/>
  <dc:description/>
  <cp:lastModifiedBy>Roger Ferguson</cp:lastModifiedBy>
  <cp:revision>2</cp:revision>
  <dcterms:created xsi:type="dcterms:W3CDTF">2026-01-04T22:12:00Z</dcterms:created>
  <dcterms:modified xsi:type="dcterms:W3CDTF">2026-01-04T22:12:00Z</dcterms:modified>
</cp:coreProperties>
</file>