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20D40" w14:textId="77777777" w:rsidR="00C252A4" w:rsidRPr="00C252A4" w:rsidRDefault="00C252A4" w:rsidP="00C252A4">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C252A4">
        <w:rPr>
          <w:rFonts w:ascii="Times New Roman" w:eastAsia="Times New Roman" w:hAnsi="Times New Roman" w:cs="Times New Roman"/>
          <w:b/>
          <w:bCs/>
          <w:kern w:val="36"/>
          <w:sz w:val="48"/>
          <w:szCs w:val="48"/>
          <w14:ligatures w14:val="none"/>
        </w:rPr>
        <w:t>Is the Bible Historically Reliable?</w:t>
      </w:r>
    </w:p>
    <w:p w14:paraId="6FA35EC3"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69774B1C" w14:textId="77777777" w:rsidR="00C252A4" w:rsidRPr="00C252A4" w:rsidRDefault="00C252A4" w:rsidP="00C252A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Introduction</w:t>
      </w:r>
    </w:p>
    <w:p w14:paraId="20895D25"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50C72477"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The historical reliability of the Bible is a foundational concern not only for theologians and historians but also for skeptics and believers alike. The question spans several fields, including textual criticism, archaeology, and literary analysis. Scholars have debated whether the biblical texts accurately reflect historical events, reliable transmission, and internal consistency over time. This report evaluates the historical reliability of the Bible through three core lenses: manuscript evidence, archaeological support, and internal consistency, drawing on leading academic sources and recent research.</w:t>
      </w:r>
    </w:p>
    <w:p w14:paraId="02CEC2C6" w14:textId="77777777" w:rsidR="00C252A4" w:rsidRPr="00C252A4" w:rsidRDefault="00C252A4" w:rsidP="00C252A4">
      <w:pPr>
        <w:spacing w:after="0" w:line="240" w:lineRule="auto"/>
        <w:rPr>
          <w:rFonts w:ascii="Times New Roman" w:eastAsia="Times New Roman" w:hAnsi="Times New Roman" w:cs="Times New Roman"/>
          <w:kern w:val="0"/>
          <w14:ligatures w14:val="none"/>
        </w:rPr>
      </w:pPr>
      <w:r w:rsidRPr="00C252A4">
        <w:rPr>
          <w:rFonts w:ascii="Times New Roman" w:eastAsia="Times New Roman" w:hAnsi="Times New Roman" w:cs="Times New Roman"/>
          <w:noProof/>
          <w:kern w:val="0"/>
          <w14:ligatures w14:val="none"/>
        </w:rPr>
        <mc:AlternateContent>
          <mc:Choice Requires="wps">
            <w:drawing>
              <wp:inline distT="0" distB="0" distL="0" distR="0" wp14:anchorId="14D61E1B" wp14:editId="754DA14F">
                <wp:extent cx="5943600" cy="1270"/>
                <wp:effectExtent l="0" t="31750" r="0" b="36830"/>
                <wp:docPr id="113105667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2BB88C4F" id="Rectangle 5"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5112DBBA" w14:textId="77777777" w:rsidR="00C252A4" w:rsidRPr="00C252A4" w:rsidRDefault="00C252A4" w:rsidP="00C252A4">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Manuscript Evidence</w:t>
      </w:r>
    </w:p>
    <w:p w14:paraId="5B845872"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7F41F124"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The manuscript tradition of the Bible is more robust than any other ancient literary work. According to F.F. Bruce (2003), the New Testament alone is supported by over 5,800 Greek manuscripts, along with thousands more in Latin, Coptic, Syriac, and other ancient languages. This wealth of documentation allows scholars to reconstruct the original text with a high degree of accuracy. The Dead Sea Scrolls, discovered in the mid-20th century, have provided critical confirmation of the textual fidelity of the Old Testament, with manuscripts dating back as far as the third century BCE (Holden &amp; </w:t>
      </w:r>
      <w:proofErr w:type="spellStart"/>
      <w:r w:rsidRPr="00C252A4">
        <w:rPr>
          <w:rFonts w:ascii="Times New Roman" w:hAnsi="Times New Roman" w:cs="Times New Roman"/>
          <w:kern w:val="0"/>
          <w14:ligatures w14:val="none"/>
        </w:rPr>
        <w:t>Geisler</w:t>
      </w:r>
      <w:proofErr w:type="spellEnd"/>
      <w:r w:rsidRPr="00C252A4">
        <w:rPr>
          <w:rFonts w:ascii="Times New Roman" w:hAnsi="Times New Roman" w:cs="Times New Roman"/>
          <w:kern w:val="0"/>
          <w14:ligatures w14:val="none"/>
        </w:rPr>
        <w:t>, 2013).</w:t>
      </w:r>
    </w:p>
    <w:p w14:paraId="1FCCE937"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131BB57B"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Even small textual variants among manuscripts do not undermine essential doctrines or narratives. Textual critics such as Craig L. </w:t>
      </w:r>
      <w:proofErr w:type="spellStart"/>
      <w:r w:rsidRPr="00C252A4">
        <w:rPr>
          <w:rFonts w:ascii="Times New Roman" w:hAnsi="Times New Roman" w:cs="Times New Roman"/>
          <w:kern w:val="0"/>
          <w14:ligatures w14:val="none"/>
        </w:rPr>
        <w:t>Blomberg</w:t>
      </w:r>
      <w:proofErr w:type="spellEnd"/>
      <w:r w:rsidRPr="00C252A4">
        <w:rPr>
          <w:rFonts w:ascii="Times New Roman" w:hAnsi="Times New Roman" w:cs="Times New Roman"/>
          <w:kern w:val="0"/>
          <w14:ligatures w14:val="none"/>
        </w:rPr>
        <w:t xml:space="preserve"> (2014) argue that while there are minor discrepancies, none affect core theological claims. The science of textual criticism enables scholars to identify and correct scribal errors, confirming the Bible’s textual stability over time. As Larry </w:t>
      </w:r>
      <w:proofErr w:type="spellStart"/>
      <w:r w:rsidRPr="00C252A4">
        <w:rPr>
          <w:rFonts w:ascii="Times New Roman" w:hAnsi="Times New Roman" w:cs="Times New Roman"/>
          <w:kern w:val="0"/>
          <w14:ligatures w14:val="none"/>
        </w:rPr>
        <w:t>Hurtado</w:t>
      </w:r>
      <w:proofErr w:type="spellEnd"/>
      <w:r w:rsidRPr="00C252A4">
        <w:rPr>
          <w:rFonts w:ascii="Times New Roman" w:hAnsi="Times New Roman" w:cs="Times New Roman"/>
          <w:kern w:val="0"/>
          <w14:ligatures w14:val="none"/>
        </w:rPr>
        <w:t xml:space="preserve"> (2006) explains, early Christians placed extraordinary value on preserving their sacred writings, which is evident in the number and quality of surviving documents.</w:t>
      </w:r>
    </w:p>
    <w:p w14:paraId="290DE2A3" w14:textId="77777777" w:rsidR="00C252A4" w:rsidRPr="00C252A4" w:rsidRDefault="00C252A4" w:rsidP="00C252A4">
      <w:pPr>
        <w:spacing w:after="0" w:line="240" w:lineRule="auto"/>
        <w:rPr>
          <w:rFonts w:ascii="Times New Roman" w:eastAsia="Times New Roman" w:hAnsi="Times New Roman" w:cs="Times New Roman"/>
          <w:kern w:val="0"/>
          <w14:ligatures w14:val="none"/>
        </w:rPr>
      </w:pPr>
      <w:r w:rsidRPr="00C252A4">
        <w:rPr>
          <w:rFonts w:ascii="Times New Roman" w:eastAsia="Times New Roman" w:hAnsi="Times New Roman" w:cs="Times New Roman"/>
          <w:noProof/>
          <w:kern w:val="0"/>
          <w14:ligatures w14:val="none"/>
        </w:rPr>
        <mc:AlternateContent>
          <mc:Choice Requires="wps">
            <w:drawing>
              <wp:inline distT="0" distB="0" distL="0" distR="0" wp14:anchorId="3E325A0C" wp14:editId="2CB54C10">
                <wp:extent cx="5943600" cy="1270"/>
                <wp:effectExtent l="0" t="31750" r="0" b="36830"/>
                <wp:docPr id="150185489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49E79AE0" id="Rectangle 4"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4BC4E7A" w14:textId="77777777" w:rsidR="00C252A4" w:rsidRPr="00C252A4" w:rsidRDefault="00C252A4" w:rsidP="00C252A4">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Archaeological Corroboration</w:t>
      </w:r>
    </w:p>
    <w:p w14:paraId="171B47D5"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0C9F81FC"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lastRenderedPageBreak/>
        <w:t xml:space="preserve">Archaeology has played a significant role in affirming the Bible’s historical framework. While archaeology cannot verify every individual event, it often confirms cultural, geographical, and political references. Discoveries such as the Tel Dan Stele, which references the “House of David,” and excavations at </w:t>
      </w:r>
      <w:proofErr w:type="spellStart"/>
      <w:r w:rsidRPr="00C252A4">
        <w:rPr>
          <w:rFonts w:ascii="Times New Roman" w:hAnsi="Times New Roman" w:cs="Times New Roman"/>
          <w:kern w:val="0"/>
          <w14:ligatures w14:val="none"/>
        </w:rPr>
        <w:t>Hazor</w:t>
      </w:r>
      <w:proofErr w:type="spellEnd"/>
      <w:r w:rsidRPr="00C252A4">
        <w:rPr>
          <w:rFonts w:ascii="Times New Roman" w:hAnsi="Times New Roman" w:cs="Times New Roman"/>
          <w:kern w:val="0"/>
          <w14:ligatures w14:val="none"/>
        </w:rPr>
        <w:t>, Jericho, and Nineveh, provide indirect support for biblical accounts (Andrews, 2025).</w:t>
      </w:r>
    </w:p>
    <w:p w14:paraId="5E4A5E96"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661B899D"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Moreover, scholars such as Edwin </w:t>
      </w:r>
      <w:proofErr w:type="spellStart"/>
      <w:r w:rsidRPr="00C252A4">
        <w:rPr>
          <w:rFonts w:ascii="Times New Roman" w:hAnsi="Times New Roman" w:cs="Times New Roman"/>
          <w:kern w:val="0"/>
          <w14:ligatures w14:val="none"/>
        </w:rPr>
        <w:t>Yamauchi</w:t>
      </w:r>
      <w:proofErr w:type="spellEnd"/>
      <w:r w:rsidRPr="00C252A4">
        <w:rPr>
          <w:rFonts w:ascii="Times New Roman" w:hAnsi="Times New Roman" w:cs="Times New Roman"/>
          <w:kern w:val="0"/>
          <w14:ligatures w14:val="none"/>
        </w:rPr>
        <w:t xml:space="preserve"> and Bryant Wood have found that archaeological findings are frequently consistent with biblical descriptions, even if they don’t prove events directly. In The Stones Speak, E.D. Andrews (2025) emphasizes that many critics previously doubted the existence of certain people or places mentioned in the Bible—only to have archaeological evidence later vindicate these accounts. Nevertheless, archaeology has its limitations, and scholars such as </w:t>
      </w:r>
      <w:proofErr w:type="spellStart"/>
      <w:r w:rsidRPr="00C252A4">
        <w:rPr>
          <w:rFonts w:ascii="Times New Roman" w:hAnsi="Times New Roman" w:cs="Times New Roman"/>
          <w:kern w:val="0"/>
          <w14:ligatures w14:val="none"/>
        </w:rPr>
        <w:t>Brandfon</w:t>
      </w:r>
      <w:proofErr w:type="spellEnd"/>
      <w:r w:rsidRPr="00C252A4">
        <w:rPr>
          <w:rFonts w:ascii="Times New Roman" w:hAnsi="Times New Roman" w:cs="Times New Roman"/>
          <w:kern w:val="0"/>
          <w14:ligatures w14:val="none"/>
        </w:rPr>
        <w:t xml:space="preserve"> (1987) caution that interpretation is influenced by the presuppositions of the archaeologist.</w:t>
      </w:r>
    </w:p>
    <w:p w14:paraId="497B462B" w14:textId="77777777" w:rsidR="00C252A4" w:rsidRPr="00C252A4" w:rsidRDefault="00C252A4" w:rsidP="00C252A4">
      <w:pPr>
        <w:spacing w:after="0" w:line="240" w:lineRule="auto"/>
        <w:rPr>
          <w:rFonts w:ascii="Times New Roman" w:eastAsia="Times New Roman" w:hAnsi="Times New Roman" w:cs="Times New Roman"/>
          <w:kern w:val="0"/>
          <w14:ligatures w14:val="none"/>
        </w:rPr>
      </w:pPr>
      <w:r w:rsidRPr="00C252A4">
        <w:rPr>
          <w:rFonts w:ascii="Times New Roman" w:eastAsia="Times New Roman" w:hAnsi="Times New Roman" w:cs="Times New Roman"/>
          <w:noProof/>
          <w:kern w:val="0"/>
          <w14:ligatures w14:val="none"/>
        </w:rPr>
        <mc:AlternateContent>
          <mc:Choice Requires="wps">
            <w:drawing>
              <wp:inline distT="0" distB="0" distL="0" distR="0" wp14:anchorId="4233C326" wp14:editId="56D271A1">
                <wp:extent cx="5943600" cy="1270"/>
                <wp:effectExtent l="0" t="31750" r="0" b="36830"/>
                <wp:docPr id="29368933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6723B59" id="Rectangle 3"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93FBC4F" w14:textId="77777777" w:rsidR="00C252A4" w:rsidRPr="00C252A4" w:rsidRDefault="00C252A4" w:rsidP="00C252A4">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Internal Consistency</w:t>
      </w:r>
    </w:p>
    <w:p w14:paraId="3D27F0A0"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4047005E"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One of the most striking features of the Bible is its internal coherence, despite being written over a span of 1,500 years by approximately 40 authors in different locations, cultures, and languages. Scholars like </w:t>
      </w:r>
      <w:proofErr w:type="spellStart"/>
      <w:r w:rsidRPr="00C252A4">
        <w:rPr>
          <w:rFonts w:ascii="Times New Roman" w:hAnsi="Times New Roman" w:cs="Times New Roman"/>
          <w:kern w:val="0"/>
          <w14:ligatures w14:val="none"/>
        </w:rPr>
        <w:t>Rendsburg</w:t>
      </w:r>
      <w:proofErr w:type="spellEnd"/>
      <w:r w:rsidRPr="00C252A4">
        <w:rPr>
          <w:rFonts w:ascii="Times New Roman" w:hAnsi="Times New Roman" w:cs="Times New Roman"/>
          <w:kern w:val="0"/>
          <w14:ligatures w14:val="none"/>
        </w:rPr>
        <w:t xml:space="preserve"> (1990) point out that the genealogies, prophecies, legal codes, and theological themes across books of the Bible align with surprising uniformity. This continuity is particularly notable in prophetic fulfillment and theological development from the Old to the New Testament.</w:t>
      </w:r>
    </w:p>
    <w:p w14:paraId="7EE5F29B"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56992A0E"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Some critics claim contradictions exist; however, many supposed inconsistencies are explained by differences in literary genre, authorial perspective, or textual tradition. The overarching message of redemption, covenant, and divine purpose remains consistent throughout. As Bates (2023) notes, even when texts are viewed from a skeptical historical perspective, the narrative structure and intertextual references display deep literary cohesion.</w:t>
      </w:r>
    </w:p>
    <w:p w14:paraId="4CEF3DC4" w14:textId="77777777" w:rsidR="00C252A4" w:rsidRPr="00C252A4" w:rsidRDefault="00C252A4" w:rsidP="00C252A4">
      <w:pPr>
        <w:spacing w:after="0" w:line="240" w:lineRule="auto"/>
        <w:rPr>
          <w:rFonts w:ascii="Times New Roman" w:eastAsia="Times New Roman" w:hAnsi="Times New Roman" w:cs="Times New Roman"/>
          <w:kern w:val="0"/>
          <w14:ligatures w14:val="none"/>
        </w:rPr>
      </w:pPr>
      <w:r w:rsidRPr="00C252A4">
        <w:rPr>
          <w:rFonts w:ascii="Times New Roman" w:eastAsia="Times New Roman" w:hAnsi="Times New Roman" w:cs="Times New Roman"/>
          <w:noProof/>
          <w:kern w:val="0"/>
          <w14:ligatures w14:val="none"/>
        </w:rPr>
        <mc:AlternateContent>
          <mc:Choice Requires="wps">
            <w:drawing>
              <wp:inline distT="0" distB="0" distL="0" distR="0" wp14:anchorId="625E0BBF" wp14:editId="4CF58B8F">
                <wp:extent cx="5943600" cy="1270"/>
                <wp:effectExtent l="0" t="31750" r="0" b="36830"/>
                <wp:docPr id="187513462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52CBBD00" id="Rectangle 2"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11216A83" w14:textId="77777777" w:rsidR="00C252A4" w:rsidRPr="00C252A4" w:rsidRDefault="00C252A4" w:rsidP="00C252A4">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Conclusion</w:t>
      </w:r>
    </w:p>
    <w:p w14:paraId="49FFE30E"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78B66427"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While debates on specific historical claims will continue, the cumulative evidence suggests that the Bible is historically reliable by scholarly standards. The manuscript evidence exceeds that of </w:t>
      </w:r>
      <w:r w:rsidRPr="00C252A4">
        <w:rPr>
          <w:rFonts w:ascii="Times New Roman" w:hAnsi="Times New Roman" w:cs="Times New Roman"/>
          <w:kern w:val="0"/>
          <w14:ligatures w14:val="none"/>
        </w:rPr>
        <w:lastRenderedPageBreak/>
        <w:t>any ancient text, archaeology repeatedly aligns with the Bible’s context, and the text demonstrates remarkable internal consistency over time. These combined factors provide a strong foundation for trusting the Bible as a historically credible document.</w:t>
      </w:r>
    </w:p>
    <w:p w14:paraId="082D24BB"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p>
    <w:p w14:paraId="46E6D773" w14:textId="77777777" w:rsidR="00C252A4" w:rsidRPr="00C252A4" w:rsidRDefault="00C252A4" w:rsidP="00C252A4">
      <w:p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Whether one approaches the Bible from a faith perspective or as a historical artifact, the data support the conclusion that its preservation and content are reliable within the bounds of ancient literature.</w:t>
      </w:r>
    </w:p>
    <w:p w14:paraId="20E4357D" w14:textId="77777777" w:rsidR="00C252A4" w:rsidRPr="00C252A4" w:rsidRDefault="00C252A4" w:rsidP="00C252A4">
      <w:pPr>
        <w:spacing w:after="0" w:line="240" w:lineRule="auto"/>
        <w:rPr>
          <w:rFonts w:ascii="Times New Roman" w:eastAsia="Times New Roman" w:hAnsi="Times New Roman" w:cs="Times New Roman"/>
          <w:kern w:val="0"/>
          <w14:ligatures w14:val="none"/>
        </w:rPr>
      </w:pPr>
      <w:r w:rsidRPr="00C252A4">
        <w:rPr>
          <w:rFonts w:ascii="Times New Roman" w:eastAsia="Times New Roman" w:hAnsi="Times New Roman" w:cs="Times New Roman"/>
          <w:noProof/>
          <w:kern w:val="0"/>
          <w14:ligatures w14:val="none"/>
        </w:rPr>
        <mc:AlternateContent>
          <mc:Choice Requires="wps">
            <w:drawing>
              <wp:inline distT="0" distB="0" distL="0" distR="0" wp14:anchorId="02F7B961" wp14:editId="748F7C33">
                <wp:extent cx="5943600" cy="1270"/>
                <wp:effectExtent l="0" t="31750" r="0" b="36830"/>
                <wp:docPr id="161281530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8905893"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6DE4C6A9" w14:textId="77777777" w:rsidR="00C252A4" w:rsidRPr="00C252A4" w:rsidRDefault="00C252A4" w:rsidP="00C252A4">
      <w:pPr>
        <w:spacing w:before="100" w:beforeAutospacing="1" w:after="100" w:afterAutospacing="1" w:line="240" w:lineRule="auto"/>
        <w:outlineLvl w:val="1"/>
        <w:rPr>
          <w:rFonts w:ascii="Times New Roman" w:hAnsi="Times New Roman" w:cs="Times New Roman"/>
          <w:b/>
          <w:bCs/>
          <w:kern w:val="0"/>
          <w:sz w:val="36"/>
          <w:szCs w:val="36"/>
          <w14:ligatures w14:val="none"/>
        </w:rPr>
      </w:pPr>
      <w:r w:rsidRPr="00C252A4">
        <w:rPr>
          <w:rFonts w:ascii="Times New Roman" w:eastAsia="Times New Roman" w:hAnsi="Times New Roman" w:cs="Times New Roman"/>
          <w:b/>
          <w:bCs/>
          <w:kern w:val="0"/>
          <w:sz w:val="36"/>
          <w:szCs w:val="36"/>
          <w14:ligatures w14:val="none"/>
        </w:rPr>
        <w:t>References</w:t>
      </w:r>
    </w:p>
    <w:p w14:paraId="7CA641D1"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Andrews, E. D. (2023). Discovering the Original Bible: Accuracy, Authenticity, and Reliability. Christian Publishing House.</w:t>
      </w:r>
    </w:p>
    <w:p w14:paraId="1137FBDE"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Andrews, E. D. (2025). The Stones Speak: Biblical Archaeology and the Reliability of the Bible. Christian Publishing House.</w:t>
      </w:r>
    </w:p>
    <w:p w14:paraId="2BC640C0"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Bates, C. R. (2023). What Do You Mean by Reliable? Navigating the Question behind the Text.</w:t>
      </w:r>
    </w:p>
    <w:p w14:paraId="6FAEDC11"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C252A4">
        <w:rPr>
          <w:rFonts w:ascii="Times New Roman" w:hAnsi="Times New Roman" w:cs="Times New Roman"/>
          <w:kern w:val="0"/>
          <w14:ligatures w14:val="none"/>
        </w:rPr>
        <w:t>Blomberg</w:t>
      </w:r>
      <w:proofErr w:type="spellEnd"/>
      <w:r w:rsidRPr="00C252A4">
        <w:rPr>
          <w:rFonts w:ascii="Times New Roman" w:hAnsi="Times New Roman" w:cs="Times New Roman"/>
          <w:kern w:val="0"/>
          <w14:ligatures w14:val="none"/>
        </w:rPr>
        <w:t>, C. L. (2014). The Historical Reliability of the Gospels. IVP Academic.</w:t>
      </w:r>
    </w:p>
    <w:p w14:paraId="223D5B9C"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C252A4">
        <w:rPr>
          <w:rFonts w:ascii="Times New Roman" w:hAnsi="Times New Roman" w:cs="Times New Roman"/>
          <w:kern w:val="0"/>
          <w14:ligatures w14:val="none"/>
        </w:rPr>
        <w:t>Brandfon</w:t>
      </w:r>
      <w:proofErr w:type="spellEnd"/>
      <w:r w:rsidRPr="00C252A4">
        <w:rPr>
          <w:rFonts w:ascii="Times New Roman" w:hAnsi="Times New Roman" w:cs="Times New Roman"/>
          <w:kern w:val="0"/>
          <w14:ligatures w14:val="none"/>
        </w:rPr>
        <w:t xml:space="preserve">, F. (1987). The Limits of Evidence: Archaeology and Objectivity. </w:t>
      </w:r>
      <w:proofErr w:type="spellStart"/>
      <w:r w:rsidRPr="00C252A4">
        <w:rPr>
          <w:rFonts w:ascii="Times New Roman" w:hAnsi="Times New Roman" w:cs="Times New Roman"/>
          <w:kern w:val="0"/>
          <w14:ligatures w14:val="none"/>
        </w:rPr>
        <w:t>Maarav</w:t>
      </w:r>
      <w:proofErr w:type="spellEnd"/>
      <w:r w:rsidRPr="00C252A4">
        <w:rPr>
          <w:rFonts w:ascii="Times New Roman" w:hAnsi="Times New Roman" w:cs="Times New Roman"/>
          <w:kern w:val="0"/>
          <w14:ligatures w14:val="none"/>
        </w:rPr>
        <w:t>, 4(1), 45–65.</w:t>
      </w:r>
    </w:p>
    <w:p w14:paraId="26F024A6"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Bruce, F. F. (2003). The New Testament Documents: Are They Reliable? Eerdmans.</w:t>
      </w:r>
    </w:p>
    <w:p w14:paraId="65BAB7E3"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r w:rsidRPr="00C252A4">
        <w:rPr>
          <w:rFonts w:ascii="Times New Roman" w:hAnsi="Times New Roman" w:cs="Times New Roman"/>
          <w:kern w:val="0"/>
          <w14:ligatures w14:val="none"/>
        </w:rPr>
        <w:t xml:space="preserve">Holden, J. M., &amp; </w:t>
      </w:r>
      <w:proofErr w:type="spellStart"/>
      <w:r w:rsidRPr="00C252A4">
        <w:rPr>
          <w:rFonts w:ascii="Times New Roman" w:hAnsi="Times New Roman" w:cs="Times New Roman"/>
          <w:kern w:val="0"/>
          <w14:ligatures w14:val="none"/>
        </w:rPr>
        <w:t>Geisler</w:t>
      </w:r>
      <w:proofErr w:type="spellEnd"/>
      <w:r w:rsidRPr="00C252A4">
        <w:rPr>
          <w:rFonts w:ascii="Times New Roman" w:hAnsi="Times New Roman" w:cs="Times New Roman"/>
          <w:kern w:val="0"/>
          <w14:ligatures w14:val="none"/>
        </w:rPr>
        <w:t>, N. (2013). The Popular Handbook of Archaeology and the Bible. Harvest House.</w:t>
      </w:r>
    </w:p>
    <w:p w14:paraId="472D7986"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C252A4">
        <w:rPr>
          <w:rFonts w:ascii="Times New Roman" w:hAnsi="Times New Roman" w:cs="Times New Roman"/>
          <w:kern w:val="0"/>
          <w14:ligatures w14:val="none"/>
        </w:rPr>
        <w:t>Hurtado</w:t>
      </w:r>
      <w:proofErr w:type="spellEnd"/>
      <w:r w:rsidRPr="00C252A4">
        <w:rPr>
          <w:rFonts w:ascii="Times New Roman" w:hAnsi="Times New Roman" w:cs="Times New Roman"/>
          <w:kern w:val="0"/>
          <w14:ligatures w14:val="none"/>
        </w:rPr>
        <w:t>, L. W. (2006). The Earliest Christian Artifacts: Manuscripts and Christian Origins. Eerdmans.</w:t>
      </w:r>
    </w:p>
    <w:p w14:paraId="369BDF66" w14:textId="77777777" w:rsidR="00C252A4" w:rsidRPr="00C252A4" w:rsidRDefault="00C252A4" w:rsidP="00C252A4">
      <w:pPr>
        <w:numPr>
          <w:ilvl w:val="0"/>
          <w:numId w:val="1"/>
        </w:numPr>
        <w:spacing w:before="100" w:beforeAutospacing="1" w:after="100" w:afterAutospacing="1" w:line="240" w:lineRule="auto"/>
        <w:rPr>
          <w:rFonts w:ascii="Times New Roman" w:hAnsi="Times New Roman" w:cs="Times New Roman"/>
          <w:kern w:val="0"/>
          <w14:ligatures w14:val="none"/>
        </w:rPr>
      </w:pPr>
      <w:proofErr w:type="spellStart"/>
      <w:r w:rsidRPr="00C252A4">
        <w:rPr>
          <w:rFonts w:ascii="Times New Roman" w:hAnsi="Times New Roman" w:cs="Times New Roman"/>
          <w:kern w:val="0"/>
          <w14:ligatures w14:val="none"/>
        </w:rPr>
        <w:t>Rendsburg</w:t>
      </w:r>
      <w:proofErr w:type="spellEnd"/>
      <w:r w:rsidRPr="00C252A4">
        <w:rPr>
          <w:rFonts w:ascii="Times New Roman" w:hAnsi="Times New Roman" w:cs="Times New Roman"/>
          <w:kern w:val="0"/>
          <w14:ligatures w14:val="none"/>
        </w:rPr>
        <w:t xml:space="preserve">, G. A. (1990). The Internal Consistency and Historical Reliability of the Biblical Genealogies. </w:t>
      </w:r>
      <w:proofErr w:type="spellStart"/>
      <w:r w:rsidRPr="00C252A4">
        <w:rPr>
          <w:rFonts w:ascii="Times New Roman" w:hAnsi="Times New Roman" w:cs="Times New Roman"/>
          <w:kern w:val="0"/>
          <w14:ligatures w14:val="none"/>
        </w:rPr>
        <w:t>Vetus</w:t>
      </w:r>
      <w:proofErr w:type="spellEnd"/>
      <w:r w:rsidRPr="00C252A4">
        <w:rPr>
          <w:rFonts w:ascii="Times New Roman" w:hAnsi="Times New Roman" w:cs="Times New Roman"/>
          <w:kern w:val="0"/>
          <w14:ligatures w14:val="none"/>
        </w:rPr>
        <w:t xml:space="preserve"> </w:t>
      </w:r>
      <w:proofErr w:type="spellStart"/>
      <w:r w:rsidRPr="00C252A4">
        <w:rPr>
          <w:rFonts w:ascii="Times New Roman" w:hAnsi="Times New Roman" w:cs="Times New Roman"/>
          <w:kern w:val="0"/>
          <w14:ligatures w14:val="none"/>
        </w:rPr>
        <w:t>Testamentum</w:t>
      </w:r>
      <w:proofErr w:type="spellEnd"/>
      <w:r w:rsidRPr="00C252A4">
        <w:rPr>
          <w:rFonts w:ascii="Times New Roman" w:hAnsi="Times New Roman" w:cs="Times New Roman"/>
          <w:kern w:val="0"/>
          <w14:ligatures w14:val="none"/>
        </w:rPr>
        <w:t>, 40(2), 185–206.</w:t>
      </w:r>
    </w:p>
    <w:p w14:paraId="26368A44" w14:textId="77777777" w:rsidR="00C252A4" w:rsidRDefault="00C252A4"/>
    <w:sectPr w:rsidR="00C252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03569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6270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2A4"/>
    <w:rsid w:val="009D2005"/>
    <w:rsid w:val="00C252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70C677"/>
  <w15:chartTrackingRefBased/>
  <w15:docId w15:val="{FD373A23-EAC9-5F45-991C-7827B357D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252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252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52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52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52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52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52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52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52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52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52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52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52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52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52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52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52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52A4"/>
    <w:rPr>
      <w:rFonts w:eastAsiaTheme="majorEastAsia" w:cstheme="majorBidi"/>
      <w:color w:val="272727" w:themeColor="text1" w:themeTint="D8"/>
    </w:rPr>
  </w:style>
  <w:style w:type="paragraph" w:styleId="Title">
    <w:name w:val="Title"/>
    <w:basedOn w:val="Normal"/>
    <w:next w:val="Normal"/>
    <w:link w:val="TitleChar"/>
    <w:uiPriority w:val="10"/>
    <w:qFormat/>
    <w:rsid w:val="00C252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52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52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52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52A4"/>
    <w:pPr>
      <w:spacing w:before="160"/>
      <w:jc w:val="center"/>
    </w:pPr>
    <w:rPr>
      <w:i/>
      <w:iCs/>
      <w:color w:val="404040" w:themeColor="text1" w:themeTint="BF"/>
    </w:rPr>
  </w:style>
  <w:style w:type="character" w:customStyle="1" w:styleId="QuoteChar">
    <w:name w:val="Quote Char"/>
    <w:basedOn w:val="DefaultParagraphFont"/>
    <w:link w:val="Quote"/>
    <w:uiPriority w:val="29"/>
    <w:rsid w:val="00C252A4"/>
    <w:rPr>
      <w:i/>
      <w:iCs/>
      <w:color w:val="404040" w:themeColor="text1" w:themeTint="BF"/>
    </w:rPr>
  </w:style>
  <w:style w:type="paragraph" w:styleId="ListParagraph">
    <w:name w:val="List Paragraph"/>
    <w:basedOn w:val="Normal"/>
    <w:uiPriority w:val="34"/>
    <w:qFormat/>
    <w:rsid w:val="00C252A4"/>
    <w:pPr>
      <w:ind w:left="720"/>
      <w:contextualSpacing/>
    </w:pPr>
  </w:style>
  <w:style w:type="character" w:styleId="IntenseEmphasis">
    <w:name w:val="Intense Emphasis"/>
    <w:basedOn w:val="DefaultParagraphFont"/>
    <w:uiPriority w:val="21"/>
    <w:qFormat/>
    <w:rsid w:val="00C252A4"/>
    <w:rPr>
      <w:i/>
      <w:iCs/>
      <w:color w:val="0F4761" w:themeColor="accent1" w:themeShade="BF"/>
    </w:rPr>
  </w:style>
  <w:style w:type="paragraph" w:styleId="IntenseQuote">
    <w:name w:val="Intense Quote"/>
    <w:basedOn w:val="Normal"/>
    <w:next w:val="Normal"/>
    <w:link w:val="IntenseQuoteChar"/>
    <w:uiPriority w:val="30"/>
    <w:qFormat/>
    <w:rsid w:val="00C252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52A4"/>
    <w:rPr>
      <w:i/>
      <w:iCs/>
      <w:color w:val="0F4761" w:themeColor="accent1" w:themeShade="BF"/>
    </w:rPr>
  </w:style>
  <w:style w:type="character" w:styleId="IntenseReference">
    <w:name w:val="Intense Reference"/>
    <w:basedOn w:val="DefaultParagraphFont"/>
    <w:uiPriority w:val="32"/>
    <w:qFormat/>
    <w:rsid w:val="00C252A4"/>
    <w:rPr>
      <w:b/>
      <w:bCs/>
      <w:smallCaps/>
      <w:color w:val="0F4761" w:themeColor="accent1" w:themeShade="BF"/>
      <w:spacing w:val="5"/>
    </w:rPr>
  </w:style>
  <w:style w:type="paragraph" w:customStyle="1" w:styleId="p1">
    <w:name w:val="p1"/>
    <w:basedOn w:val="Normal"/>
    <w:rsid w:val="00C252A4"/>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C252A4"/>
  </w:style>
  <w:style w:type="paragraph" w:customStyle="1" w:styleId="p2">
    <w:name w:val="p2"/>
    <w:basedOn w:val="Normal"/>
    <w:rsid w:val="00C252A4"/>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C252A4"/>
  </w:style>
  <w:style w:type="paragraph" w:customStyle="1" w:styleId="p3">
    <w:name w:val="p3"/>
    <w:basedOn w:val="Normal"/>
    <w:rsid w:val="00C252A4"/>
    <w:pPr>
      <w:spacing w:before="100" w:beforeAutospacing="1" w:after="100" w:afterAutospacing="1" w:line="240" w:lineRule="auto"/>
    </w:pPr>
    <w:rPr>
      <w:rFonts w:ascii="Times New Roman" w:hAnsi="Times New Roman" w:cs="Times New Roman"/>
      <w:kern w:val="0"/>
      <w14:ligatures w14:val="none"/>
    </w:rPr>
  </w:style>
  <w:style w:type="character" w:customStyle="1" w:styleId="s3">
    <w:name w:val="s3"/>
    <w:basedOn w:val="DefaultParagraphFont"/>
    <w:rsid w:val="00C252A4"/>
  </w:style>
  <w:style w:type="character" w:customStyle="1" w:styleId="s4">
    <w:name w:val="s4"/>
    <w:basedOn w:val="DefaultParagraphFont"/>
    <w:rsid w:val="00C25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817</Words>
  <Characters>4659</Characters>
  <Application>Microsoft Office Word</Application>
  <DocSecurity>0</DocSecurity>
  <Lines>38</Lines>
  <Paragraphs>10</Paragraphs>
  <ScaleCrop>false</ScaleCrop>
  <Company/>
  <LinksUpToDate>false</LinksUpToDate>
  <CharactersWithSpaces>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Ferguson</dc:creator>
  <cp:keywords/>
  <dc:description/>
  <cp:lastModifiedBy>Roger Ferguson</cp:lastModifiedBy>
  <cp:revision>2</cp:revision>
  <dcterms:created xsi:type="dcterms:W3CDTF">2026-01-04T21:36:00Z</dcterms:created>
  <dcterms:modified xsi:type="dcterms:W3CDTF">2026-01-04T21:36:00Z</dcterms:modified>
</cp:coreProperties>
</file>