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BCF1E3" w14:textId="77777777" w:rsidR="00A92917" w:rsidRPr="00A92917" w:rsidRDefault="00A92917" w:rsidP="00A929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92917">
        <w:rPr>
          <w:rFonts w:ascii="Times New Roman" w:eastAsia="Times New Roman" w:hAnsi="Times New Roman" w:cs="Times New Roman"/>
          <w:b/>
          <w:bCs/>
          <w:kern w:val="0"/>
          <w:sz w:val="36"/>
          <w:szCs w:val="36"/>
          <w14:ligatures w14:val="none"/>
        </w:rPr>
        <w:t>Jesus and Judaism: A Jewish Sage in First-Century Context</w:t>
      </w:r>
    </w:p>
    <w:p w14:paraId="4D98683B"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p>
    <w:p w14:paraId="6AE3864F" w14:textId="77777777" w:rsidR="00A92917" w:rsidRPr="00A92917" w:rsidRDefault="00A92917" w:rsidP="00A92917">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A92917">
        <w:rPr>
          <w:rFonts w:ascii="Times New Roman" w:eastAsia="Times New Roman" w:hAnsi="Times New Roman" w:cs="Times New Roman"/>
          <w:b/>
          <w:bCs/>
          <w:kern w:val="0"/>
          <w:sz w:val="27"/>
          <w:szCs w:val="27"/>
          <w14:ligatures w14:val="none"/>
        </w:rPr>
        <w:t>1. First-Century Context</w:t>
      </w:r>
    </w:p>
    <w:p w14:paraId="35A46D9A"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p>
    <w:p w14:paraId="000D6BD0"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r w:rsidRPr="00A92917">
        <w:rPr>
          <w:rFonts w:ascii="Times New Roman" w:hAnsi="Times New Roman" w:cs="Times New Roman"/>
          <w:kern w:val="0"/>
          <w14:ligatures w14:val="none"/>
        </w:rPr>
        <w:t xml:space="preserve">To understand Jesus of Nazareth, also known by his Hebrew name </w:t>
      </w:r>
      <w:proofErr w:type="spellStart"/>
      <w:r w:rsidRPr="00A92917">
        <w:rPr>
          <w:rFonts w:ascii="Times New Roman" w:hAnsi="Times New Roman" w:cs="Times New Roman"/>
          <w:kern w:val="0"/>
          <w14:ligatures w14:val="none"/>
        </w:rPr>
        <w:t>Yeshua</w:t>
      </w:r>
      <w:proofErr w:type="spellEnd"/>
      <w:r w:rsidRPr="00A92917">
        <w:rPr>
          <w:rFonts w:ascii="Times New Roman" w:hAnsi="Times New Roman" w:cs="Times New Roman"/>
          <w:kern w:val="0"/>
          <w14:ligatures w14:val="none"/>
        </w:rPr>
        <w:t xml:space="preserve">, it is essential to place him within the historical, religious, and cultural context of first-century Judaism. </w:t>
      </w:r>
      <w:proofErr w:type="spellStart"/>
      <w:r w:rsidRPr="00A92917">
        <w:rPr>
          <w:rFonts w:ascii="Times New Roman" w:hAnsi="Times New Roman" w:cs="Times New Roman"/>
          <w:kern w:val="0"/>
          <w14:ligatures w14:val="none"/>
        </w:rPr>
        <w:t>Yeshua</w:t>
      </w:r>
      <w:proofErr w:type="spellEnd"/>
      <w:r w:rsidRPr="00A92917">
        <w:rPr>
          <w:rFonts w:ascii="Times New Roman" w:hAnsi="Times New Roman" w:cs="Times New Roman"/>
          <w:kern w:val="0"/>
          <w14:ligatures w14:val="none"/>
        </w:rPr>
        <w:t xml:space="preserve"> lived in the region of Second Temple Judea, under Roman occupation. This period was marked by political unrest, messianic expectation, and intense religious debate within various Jewish sects such as the Pharisees, Sadducees, Essenes, and Zealots.</w:t>
      </w:r>
    </w:p>
    <w:p w14:paraId="1DEDCD40"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p>
    <w:p w14:paraId="46E7DD0E"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r w:rsidRPr="00A92917">
        <w:rPr>
          <w:rFonts w:ascii="Times New Roman" w:hAnsi="Times New Roman" w:cs="Times New Roman"/>
          <w:kern w:val="0"/>
          <w14:ligatures w14:val="none"/>
        </w:rPr>
        <w:t xml:space="preserve">The Torah-centered identity of Jewish life at the time meant that the synagogue, Sabbath observance, dietary laws (kashrut), and Temple rituals were essential elements of both personal and national identity. Jewish teachers or rabbis functioned as interpreters of Scripture and guides in </w:t>
      </w:r>
      <w:proofErr w:type="spellStart"/>
      <w:r w:rsidRPr="00A92917">
        <w:rPr>
          <w:rFonts w:ascii="Times New Roman" w:hAnsi="Times New Roman" w:cs="Times New Roman"/>
          <w:kern w:val="0"/>
          <w14:ligatures w14:val="none"/>
        </w:rPr>
        <w:t>halakhic</w:t>
      </w:r>
      <w:proofErr w:type="spellEnd"/>
      <w:r w:rsidRPr="00A92917">
        <w:rPr>
          <w:rFonts w:ascii="Times New Roman" w:hAnsi="Times New Roman" w:cs="Times New Roman"/>
          <w:kern w:val="0"/>
          <w14:ligatures w14:val="none"/>
        </w:rPr>
        <w:t xml:space="preserve"> (legal) and ethical matters. The oral tradition and written law (Torah </w:t>
      </w:r>
      <w:proofErr w:type="spellStart"/>
      <w:r w:rsidRPr="00A92917">
        <w:rPr>
          <w:rFonts w:ascii="Times New Roman" w:hAnsi="Times New Roman" w:cs="Times New Roman"/>
          <w:kern w:val="0"/>
          <w14:ligatures w14:val="none"/>
        </w:rPr>
        <w:t>Shebichtav</w:t>
      </w:r>
      <w:proofErr w:type="spellEnd"/>
      <w:r w:rsidRPr="00A92917">
        <w:rPr>
          <w:rFonts w:ascii="Times New Roman" w:hAnsi="Times New Roman" w:cs="Times New Roman"/>
          <w:kern w:val="0"/>
          <w14:ligatures w14:val="none"/>
        </w:rPr>
        <w:t xml:space="preserve"> and Torah </w:t>
      </w:r>
      <w:proofErr w:type="spellStart"/>
      <w:r w:rsidRPr="00A92917">
        <w:rPr>
          <w:rFonts w:ascii="Times New Roman" w:hAnsi="Times New Roman" w:cs="Times New Roman"/>
          <w:kern w:val="0"/>
          <w14:ligatures w14:val="none"/>
        </w:rPr>
        <w:t>Shebe’al</w:t>
      </w:r>
      <w:proofErr w:type="spellEnd"/>
      <w:r w:rsidRPr="00A92917">
        <w:rPr>
          <w:rFonts w:ascii="Times New Roman" w:hAnsi="Times New Roman" w:cs="Times New Roman"/>
          <w:kern w:val="0"/>
          <w14:ligatures w14:val="none"/>
        </w:rPr>
        <w:t xml:space="preserve"> </w:t>
      </w:r>
      <w:proofErr w:type="spellStart"/>
      <w:r w:rsidRPr="00A92917">
        <w:rPr>
          <w:rFonts w:ascii="Times New Roman" w:hAnsi="Times New Roman" w:cs="Times New Roman"/>
          <w:kern w:val="0"/>
          <w14:ligatures w14:val="none"/>
        </w:rPr>
        <w:t>Peh</w:t>
      </w:r>
      <w:proofErr w:type="spellEnd"/>
      <w:r w:rsidRPr="00A92917">
        <w:rPr>
          <w:rFonts w:ascii="Times New Roman" w:hAnsi="Times New Roman" w:cs="Times New Roman"/>
          <w:kern w:val="0"/>
          <w14:ligatures w14:val="none"/>
        </w:rPr>
        <w:t>) were both central to religious education.</w:t>
      </w:r>
    </w:p>
    <w:p w14:paraId="48182A2B"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p>
    <w:p w14:paraId="6216836B"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r w:rsidRPr="00A92917">
        <w:rPr>
          <w:rFonts w:ascii="Times New Roman" w:hAnsi="Times New Roman" w:cs="Times New Roman"/>
          <w:kern w:val="0"/>
          <w14:ligatures w14:val="none"/>
        </w:rPr>
        <w:t>Jesus was born into this vibrant matrix of Jewish life and law. The Gospels reflect his familiarity with Jewish scripture and customs (Luke 4:16), his observance of festivals such as Passover (Matthew 26:17), Hanukkah (John 10:22), and his knowledge of rabbinic debate and interpretation methods (e.g., Matthew 22).</w:t>
      </w:r>
    </w:p>
    <w:p w14:paraId="14BC8ADF"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p>
    <w:p w14:paraId="20284F2D"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r w:rsidRPr="00A92917">
        <w:rPr>
          <w:rFonts w:ascii="Times New Roman" w:hAnsi="Times New Roman" w:cs="Times New Roman"/>
          <w:kern w:val="0"/>
          <w14:ligatures w14:val="none"/>
        </w:rPr>
        <w:t xml:space="preserve">Most importantly, Jesus was not a religious outsider. He was born Jewish, lived Jewishly, and taught Jewish teachings. As scholar </w:t>
      </w:r>
      <w:proofErr w:type="spellStart"/>
      <w:r w:rsidRPr="00A92917">
        <w:rPr>
          <w:rFonts w:ascii="Times New Roman" w:hAnsi="Times New Roman" w:cs="Times New Roman"/>
          <w:kern w:val="0"/>
          <w14:ligatures w14:val="none"/>
        </w:rPr>
        <w:t>Geza</w:t>
      </w:r>
      <w:proofErr w:type="spellEnd"/>
      <w:r w:rsidRPr="00A92917">
        <w:rPr>
          <w:rFonts w:ascii="Times New Roman" w:hAnsi="Times New Roman" w:cs="Times New Roman"/>
          <w:kern w:val="0"/>
          <w14:ligatures w14:val="none"/>
        </w:rPr>
        <w:t xml:space="preserve"> </w:t>
      </w:r>
      <w:proofErr w:type="spellStart"/>
      <w:r w:rsidRPr="00A92917">
        <w:rPr>
          <w:rFonts w:ascii="Times New Roman" w:hAnsi="Times New Roman" w:cs="Times New Roman"/>
          <w:kern w:val="0"/>
          <w14:ligatures w14:val="none"/>
        </w:rPr>
        <w:t>Vermes</w:t>
      </w:r>
      <w:proofErr w:type="spellEnd"/>
      <w:r w:rsidRPr="00A92917">
        <w:rPr>
          <w:rFonts w:ascii="Times New Roman" w:hAnsi="Times New Roman" w:cs="Times New Roman"/>
          <w:kern w:val="0"/>
          <w14:ligatures w14:val="none"/>
        </w:rPr>
        <w:t xml:space="preserve"> argues, “Jesus was wholly and entirely a Jew.” He addressed a Jewish audience, cited Jewish texts, and engaged with the religious issues of his day as a member of the Jewish people, not in opposition to it.</w:t>
      </w:r>
    </w:p>
    <w:p w14:paraId="457233BC" w14:textId="77777777" w:rsidR="00A92917" w:rsidRPr="00A92917" w:rsidRDefault="00A92917" w:rsidP="00A92917">
      <w:pPr>
        <w:spacing w:after="0" w:line="240" w:lineRule="auto"/>
        <w:rPr>
          <w:rFonts w:ascii="Times New Roman" w:eastAsia="Times New Roman" w:hAnsi="Times New Roman" w:cs="Times New Roman"/>
          <w:kern w:val="0"/>
          <w14:ligatures w14:val="none"/>
        </w:rPr>
      </w:pPr>
      <w:r w:rsidRPr="00A92917">
        <w:rPr>
          <w:rFonts w:ascii="Times New Roman" w:eastAsia="Times New Roman" w:hAnsi="Times New Roman" w:cs="Times New Roman"/>
          <w:noProof/>
          <w:kern w:val="0"/>
          <w14:ligatures w14:val="none"/>
        </w:rPr>
        <mc:AlternateContent>
          <mc:Choice Requires="wps">
            <w:drawing>
              <wp:inline distT="0" distB="0" distL="0" distR="0" wp14:anchorId="2CC51058" wp14:editId="1F10C7E7">
                <wp:extent cx="5943600" cy="1270"/>
                <wp:effectExtent l="0" t="31750" r="0" b="36830"/>
                <wp:docPr id="1672441688"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5E20D922" id="Rectangle 4"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49378A97" w14:textId="77777777" w:rsidR="00A92917" w:rsidRPr="00A92917" w:rsidRDefault="00A92917" w:rsidP="00A92917">
      <w:pPr>
        <w:spacing w:before="100" w:beforeAutospacing="1" w:after="100" w:afterAutospacing="1" w:line="240" w:lineRule="auto"/>
        <w:outlineLvl w:val="2"/>
        <w:rPr>
          <w:rFonts w:ascii="Times New Roman" w:hAnsi="Times New Roman" w:cs="Times New Roman"/>
          <w:b/>
          <w:bCs/>
          <w:kern w:val="0"/>
          <w:sz w:val="27"/>
          <w:szCs w:val="27"/>
          <w14:ligatures w14:val="none"/>
        </w:rPr>
      </w:pPr>
      <w:r w:rsidRPr="00A92917">
        <w:rPr>
          <w:rFonts w:ascii="Times New Roman" w:eastAsia="Times New Roman" w:hAnsi="Times New Roman" w:cs="Times New Roman"/>
          <w:b/>
          <w:bCs/>
          <w:kern w:val="0"/>
          <w:sz w:val="27"/>
          <w:szCs w:val="27"/>
          <w14:ligatures w14:val="none"/>
        </w:rPr>
        <w:t>2. Teaching Methods</w:t>
      </w:r>
    </w:p>
    <w:p w14:paraId="72CC8DC8"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p>
    <w:p w14:paraId="2C682413"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r w:rsidRPr="00A92917">
        <w:rPr>
          <w:rFonts w:ascii="Times New Roman" w:hAnsi="Times New Roman" w:cs="Times New Roman"/>
          <w:kern w:val="0"/>
          <w14:ligatures w14:val="none"/>
        </w:rPr>
        <w:t xml:space="preserve">Jesus taught using classical Jewish pedagogical methods, which placed him squarely in the tradition of other first-century sages such as Hillel and </w:t>
      </w:r>
      <w:proofErr w:type="spellStart"/>
      <w:r w:rsidRPr="00A92917">
        <w:rPr>
          <w:rFonts w:ascii="Times New Roman" w:hAnsi="Times New Roman" w:cs="Times New Roman"/>
          <w:kern w:val="0"/>
          <w14:ligatures w14:val="none"/>
        </w:rPr>
        <w:t>Shammai</w:t>
      </w:r>
      <w:proofErr w:type="spellEnd"/>
      <w:r w:rsidRPr="00A92917">
        <w:rPr>
          <w:rFonts w:ascii="Times New Roman" w:hAnsi="Times New Roman" w:cs="Times New Roman"/>
          <w:kern w:val="0"/>
          <w14:ligatures w14:val="none"/>
        </w:rPr>
        <w:t>. His teaching approach included parables (</w:t>
      </w:r>
      <w:proofErr w:type="spellStart"/>
      <w:r w:rsidRPr="00A92917">
        <w:rPr>
          <w:rFonts w:ascii="Times New Roman" w:hAnsi="Times New Roman" w:cs="Times New Roman"/>
          <w:kern w:val="0"/>
          <w14:ligatures w14:val="none"/>
        </w:rPr>
        <w:t>mashalim</w:t>
      </w:r>
      <w:proofErr w:type="spellEnd"/>
      <w:r w:rsidRPr="00A92917">
        <w:rPr>
          <w:rFonts w:ascii="Times New Roman" w:hAnsi="Times New Roman" w:cs="Times New Roman"/>
          <w:kern w:val="0"/>
          <w14:ligatures w14:val="none"/>
        </w:rPr>
        <w:t xml:space="preserve">), questions and answers, hyperbole, and </w:t>
      </w:r>
      <w:proofErr w:type="spellStart"/>
      <w:r w:rsidRPr="00A92917">
        <w:rPr>
          <w:rFonts w:ascii="Times New Roman" w:hAnsi="Times New Roman" w:cs="Times New Roman"/>
          <w:kern w:val="0"/>
          <w14:ligatures w14:val="none"/>
        </w:rPr>
        <w:t>midrashic</w:t>
      </w:r>
      <w:proofErr w:type="spellEnd"/>
      <w:r w:rsidRPr="00A92917">
        <w:rPr>
          <w:rFonts w:ascii="Times New Roman" w:hAnsi="Times New Roman" w:cs="Times New Roman"/>
          <w:kern w:val="0"/>
          <w14:ligatures w14:val="none"/>
        </w:rPr>
        <w:t xml:space="preserve"> interpretation.</w:t>
      </w:r>
    </w:p>
    <w:p w14:paraId="323CAE77"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p>
    <w:p w14:paraId="5CFDE298" w14:textId="77777777" w:rsidR="00A92917" w:rsidRPr="00A92917" w:rsidRDefault="00A92917" w:rsidP="00A92917">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A92917">
        <w:rPr>
          <w:rFonts w:ascii="Times New Roman" w:eastAsia="Times New Roman" w:hAnsi="Times New Roman" w:cs="Times New Roman"/>
          <w:b/>
          <w:bCs/>
          <w:kern w:val="0"/>
          <w14:ligatures w14:val="none"/>
        </w:rPr>
        <w:t>a) Parables</w:t>
      </w:r>
    </w:p>
    <w:p w14:paraId="12EAD97B"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r w:rsidRPr="00A92917">
        <w:rPr>
          <w:rFonts w:ascii="Times New Roman" w:hAnsi="Times New Roman" w:cs="Times New Roman"/>
          <w:kern w:val="0"/>
          <w14:ligatures w14:val="none"/>
        </w:rPr>
        <w:t xml:space="preserve">Jesus’ use of parables mirrors the rabbinic tradition of using storytelling to communicate deeper truths. For example, the parable of the Good Samaritan (Luke 10:25-37) is not just a moral lesson but a response to the </w:t>
      </w:r>
      <w:proofErr w:type="spellStart"/>
      <w:r w:rsidRPr="00A92917">
        <w:rPr>
          <w:rFonts w:ascii="Times New Roman" w:hAnsi="Times New Roman" w:cs="Times New Roman"/>
          <w:kern w:val="0"/>
          <w14:ligatures w14:val="none"/>
        </w:rPr>
        <w:t>halakhic</w:t>
      </w:r>
      <w:proofErr w:type="spellEnd"/>
      <w:r w:rsidRPr="00A92917">
        <w:rPr>
          <w:rFonts w:ascii="Times New Roman" w:hAnsi="Times New Roman" w:cs="Times New Roman"/>
          <w:kern w:val="0"/>
          <w14:ligatures w14:val="none"/>
        </w:rPr>
        <w:t xml:space="preserve"> question, “Who is my neighbor?”—a type of legal inquiry common among rabbinic debates.</w:t>
      </w:r>
    </w:p>
    <w:p w14:paraId="56A60B9D"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p>
    <w:p w14:paraId="3B186E43"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r w:rsidRPr="00A92917">
        <w:rPr>
          <w:rFonts w:ascii="Times New Roman" w:hAnsi="Times New Roman" w:cs="Times New Roman"/>
          <w:kern w:val="0"/>
          <w14:ligatures w14:val="none"/>
        </w:rPr>
        <w:t>Parables were effective tools for illustrating Torah principles in relatable ways. Rabbi Meir and others used similar forms in the Mishnah and Talmud. Jesus’ parables, therefore, are best understood as Jewish pedagogy, rooted in Jewish hermeneutics.</w:t>
      </w:r>
    </w:p>
    <w:p w14:paraId="334ACD38"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p>
    <w:p w14:paraId="57AF9EC1" w14:textId="77777777" w:rsidR="00A92917" w:rsidRPr="00A92917" w:rsidRDefault="00A92917" w:rsidP="00A92917">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A92917">
        <w:rPr>
          <w:rFonts w:ascii="Times New Roman" w:eastAsia="Times New Roman" w:hAnsi="Times New Roman" w:cs="Times New Roman"/>
          <w:b/>
          <w:bCs/>
          <w:kern w:val="0"/>
          <w14:ligatures w14:val="none"/>
        </w:rPr>
        <w:t xml:space="preserve">b) </w:t>
      </w:r>
      <w:proofErr w:type="spellStart"/>
      <w:r w:rsidRPr="00A92917">
        <w:rPr>
          <w:rFonts w:ascii="Times New Roman" w:eastAsia="Times New Roman" w:hAnsi="Times New Roman" w:cs="Times New Roman"/>
          <w:b/>
          <w:bCs/>
          <w:kern w:val="0"/>
          <w14:ligatures w14:val="none"/>
        </w:rPr>
        <w:t>Halakhic</w:t>
      </w:r>
      <w:proofErr w:type="spellEnd"/>
      <w:r w:rsidRPr="00A92917">
        <w:rPr>
          <w:rFonts w:ascii="Times New Roman" w:eastAsia="Times New Roman" w:hAnsi="Times New Roman" w:cs="Times New Roman"/>
          <w:b/>
          <w:bCs/>
          <w:kern w:val="0"/>
          <w14:ligatures w14:val="none"/>
        </w:rPr>
        <w:t xml:space="preserve"> Debate</w:t>
      </w:r>
    </w:p>
    <w:p w14:paraId="076A41E9"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r w:rsidRPr="00A92917">
        <w:rPr>
          <w:rFonts w:ascii="Times New Roman" w:hAnsi="Times New Roman" w:cs="Times New Roman"/>
          <w:kern w:val="0"/>
          <w14:ligatures w14:val="none"/>
        </w:rPr>
        <w:t>Jesus frequently engaged in legal discussions with other Jewish teachers. For instance, the debates over Sabbath observance (Mark 2:23-28), divorce laws (Matthew 19:3-9), and purity reflect an internal Jewish dialogue, not a rejection of Torah, but differing interpretations within it.</w:t>
      </w:r>
    </w:p>
    <w:p w14:paraId="126F3B6C"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p>
    <w:p w14:paraId="5047656A"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r w:rsidRPr="00A92917">
        <w:rPr>
          <w:rFonts w:ascii="Times New Roman" w:hAnsi="Times New Roman" w:cs="Times New Roman"/>
          <w:kern w:val="0"/>
          <w14:ligatures w14:val="none"/>
        </w:rPr>
        <w:t xml:space="preserve">He employed </w:t>
      </w:r>
      <w:proofErr w:type="spellStart"/>
      <w:r w:rsidRPr="00A92917">
        <w:rPr>
          <w:rFonts w:ascii="Times New Roman" w:hAnsi="Times New Roman" w:cs="Times New Roman"/>
          <w:kern w:val="0"/>
          <w14:ligatures w14:val="none"/>
        </w:rPr>
        <w:t>kal</w:t>
      </w:r>
      <w:proofErr w:type="spellEnd"/>
      <w:r w:rsidRPr="00A92917">
        <w:rPr>
          <w:rFonts w:ascii="Times New Roman" w:hAnsi="Times New Roman" w:cs="Times New Roman"/>
          <w:kern w:val="0"/>
          <w14:ligatures w14:val="none"/>
        </w:rPr>
        <w:t xml:space="preserve"> </w:t>
      </w:r>
      <w:proofErr w:type="spellStart"/>
      <w:r w:rsidRPr="00A92917">
        <w:rPr>
          <w:rFonts w:ascii="Times New Roman" w:hAnsi="Times New Roman" w:cs="Times New Roman"/>
          <w:kern w:val="0"/>
          <w14:ligatures w14:val="none"/>
        </w:rPr>
        <w:t>va-chomer</w:t>
      </w:r>
      <w:proofErr w:type="spellEnd"/>
      <w:r w:rsidRPr="00A92917">
        <w:rPr>
          <w:rFonts w:ascii="Times New Roman" w:hAnsi="Times New Roman" w:cs="Times New Roman"/>
          <w:kern w:val="0"/>
          <w14:ligatures w14:val="none"/>
        </w:rPr>
        <w:t xml:space="preserve"> (light and heavy) reasoning (e.g., Matthew 6:30), and responded to challenges with counter-questions, a recognized rabbinic method (e.g., Matthew 21:23-27).</w:t>
      </w:r>
    </w:p>
    <w:p w14:paraId="5E0A82C6"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p>
    <w:p w14:paraId="5447DC04" w14:textId="77777777" w:rsidR="00A92917" w:rsidRPr="00A92917" w:rsidRDefault="00A92917" w:rsidP="00A92917">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A92917">
        <w:rPr>
          <w:rFonts w:ascii="Times New Roman" w:eastAsia="Times New Roman" w:hAnsi="Times New Roman" w:cs="Times New Roman"/>
          <w:b/>
          <w:bCs/>
          <w:kern w:val="0"/>
          <w14:ligatures w14:val="none"/>
        </w:rPr>
        <w:t>c) Ethical Interpretation</w:t>
      </w:r>
    </w:p>
    <w:p w14:paraId="63D0697B"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r w:rsidRPr="00A92917">
        <w:rPr>
          <w:rFonts w:ascii="Times New Roman" w:hAnsi="Times New Roman" w:cs="Times New Roman"/>
          <w:kern w:val="0"/>
          <w14:ligatures w14:val="none"/>
        </w:rPr>
        <w:t>Jesus emphasized the spirit of the law, not as a way to discard it, but to fulfill its highest intention—as seen in his summary: “Love the Lord your God… and your neighbor as yourself” (Deuteronomy 6:5; Leviticus 19:18, cited in Matthew 22:36-40). This aligns closely with Rabbi Hillel’s teaching: “What is hateful to you, do not do to your neighbor. That is the whole Torah.”</w:t>
      </w:r>
    </w:p>
    <w:p w14:paraId="4D6B8054" w14:textId="77777777" w:rsidR="00A92917" w:rsidRPr="00A92917" w:rsidRDefault="00A92917" w:rsidP="00A92917">
      <w:pPr>
        <w:spacing w:after="0" w:line="240" w:lineRule="auto"/>
        <w:rPr>
          <w:rFonts w:ascii="Times New Roman" w:eastAsia="Times New Roman" w:hAnsi="Times New Roman" w:cs="Times New Roman"/>
          <w:kern w:val="0"/>
          <w14:ligatures w14:val="none"/>
        </w:rPr>
      </w:pPr>
      <w:r w:rsidRPr="00A92917">
        <w:rPr>
          <w:rFonts w:ascii="Times New Roman" w:eastAsia="Times New Roman" w:hAnsi="Times New Roman" w:cs="Times New Roman"/>
          <w:noProof/>
          <w:kern w:val="0"/>
          <w14:ligatures w14:val="none"/>
        </w:rPr>
        <mc:AlternateContent>
          <mc:Choice Requires="wps">
            <w:drawing>
              <wp:inline distT="0" distB="0" distL="0" distR="0" wp14:anchorId="61D1AAC7" wp14:editId="43918788">
                <wp:extent cx="5943600" cy="1270"/>
                <wp:effectExtent l="0" t="31750" r="0" b="36830"/>
                <wp:docPr id="147471971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7D58C6F9" id="Rectangle 3"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3026FEE4" w14:textId="77777777" w:rsidR="00A92917" w:rsidRPr="00A92917" w:rsidRDefault="00A92917" w:rsidP="00A92917">
      <w:pPr>
        <w:spacing w:before="100" w:beforeAutospacing="1" w:after="100" w:afterAutospacing="1" w:line="240" w:lineRule="auto"/>
        <w:outlineLvl w:val="2"/>
        <w:rPr>
          <w:rFonts w:ascii="Times New Roman" w:hAnsi="Times New Roman" w:cs="Times New Roman"/>
          <w:b/>
          <w:bCs/>
          <w:kern w:val="0"/>
          <w:sz w:val="27"/>
          <w:szCs w:val="27"/>
          <w14:ligatures w14:val="none"/>
        </w:rPr>
      </w:pPr>
      <w:r w:rsidRPr="00A92917">
        <w:rPr>
          <w:rFonts w:ascii="Times New Roman" w:eastAsia="Times New Roman" w:hAnsi="Times New Roman" w:cs="Times New Roman"/>
          <w:b/>
          <w:bCs/>
          <w:kern w:val="0"/>
          <w:sz w:val="27"/>
          <w:szCs w:val="27"/>
          <w14:ligatures w14:val="none"/>
        </w:rPr>
        <w:t>3. Continuity with the Torah</w:t>
      </w:r>
    </w:p>
    <w:p w14:paraId="630D4BA4"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p>
    <w:p w14:paraId="101BB21D"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r w:rsidRPr="00A92917">
        <w:rPr>
          <w:rFonts w:ascii="Times New Roman" w:hAnsi="Times New Roman" w:cs="Times New Roman"/>
          <w:kern w:val="0"/>
          <w14:ligatures w14:val="none"/>
        </w:rPr>
        <w:lastRenderedPageBreak/>
        <w:t>One of the most misunderstood aspects of Jesus’ teaching is the assumption that he rejected the Torah. On the contrary, Jesus declared unequivocally in Matthew 5:17: “Do not think that I have come to abolish the Law or the Prophets; I have not come to abolish them but to fulfill them.”</w:t>
      </w:r>
    </w:p>
    <w:p w14:paraId="118CCCB8"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p>
    <w:p w14:paraId="61965B93" w14:textId="77777777" w:rsidR="00A92917" w:rsidRPr="00A92917" w:rsidRDefault="00A92917" w:rsidP="00A92917">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A92917">
        <w:rPr>
          <w:rFonts w:ascii="Times New Roman" w:eastAsia="Times New Roman" w:hAnsi="Times New Roman" w:cs="Times New Roman"/>
          <w:b/>
          <w:bCs/>
          <w:kern w:val="0"/>
          <w14:ligatures w14:val="none"/>
        </w:rPr>
        <w:t>a) Torah Loyalty</w:t>
      </w:r>
    </w:p>
    <w:p w14:paraId="60440119"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r w:rsidRPr="00A92917">
        <w:rPr>
          <w:rFonts w:ascii="Times New Roman" w:hAnsi="Times New Roman" w:cs="Times New Roman"/>
          <w:kern w:val="0"/>
          <w14:ligatures w14:val="none"/>
        </w:rPr>
        <w:t xml:space="preserve">Jesus taught Torah observance consistently. He wore </w:t>
      </w:r>
      <w:proofErr w:type="spellStart"/>
      <w:r w:rsidRPr="00A92917">
        <w:rPr>
          <w:rFonts w:ascii="Times New Roman" w:hAnsi="Times New Roman" w:cs="Times New Roman"/>
          <w:kern w:val="0"/>
          <w14:ligatures w14:val="none"/>
        </w:rPr>
        <w:t>tzitzit</w:t>
      </w:r>
      <w:proofErr w:type="spellEnd"/>
      <w:r w:rsidRPr="00A92917">
        <w:rPr>
          <w:rFonts w:ascii="Times New Roman" w:hAnsi="Times New Roman" w:cs="Times New Roman"/>
          <w:kern w:val="0"/>
          <w14:ligatures w14:val="none"/>
        </w:rPr>
        <w:t xml:space="preserve"> (tassels) as commanded in Numbers 15:38 (cf. Matthew 9:20), observed </w:t>
      </w:r>
      <w:proofErr w:type="spellStart"/>
      <w:r w:rsidRPr="00A92917">
        <w:rPr>
          <w:rFonts w:ascii="Times New Roman" w:hAnsi="Times New Roman" w:cs="Times New Roman"/>
          <w:kern w:val="0"/>
          <w14:ligatures w14:val="none"/>
        </w:rPr>
        <w:t>Pesach</w:t>
      </w:r>
      <w:proofErr w:type="spellEnd"/>
      <w:r w:rsidRPr="00A92917">
        <w:rPr>
          <w:rFonts w:ascii="Times New Roman" w:hAnsi="Times New Roman" w:cs="Times New Roman"/>
          <w:kern w:val="0"/>
          <w14:ligatures w14:val="none"/>
        </w:rPr>
        <w:t xml:space="preserve"> and other Jewish festivals (Luke 2:41), taught in synagogues (Luke 4:16), and upheld ritual laws like </w:t>
      </w:r>
      <w:proofErr w:type="spellStart"/>
      <w:r w:rsidRPr="00A92917">
        <w:rPr>
          <w:rFonts w:ascii="Times New Roman" w:hAnsi="Times New Roman" w:cs="Times New Roman"/>
          <w:kern w:val="0"/>
          <w14:ligatures w14:val="none"/>
        </w:rPr>
        <w:t>mikvah</w:t>
      </w:r>
      <w:proofErr w:type="spellEnd"/>
      <w:r w:rsidRPr="00A92917">
        <w:rPr>
          <w:rFonts w:ascii="Times New Roman" w:hAnsi="Times New Roman" w:cs="Times New Roman"/>
          <w:kern w:val="0"/>
          <w14:ligatures w14:val="none"/>
        </w:rPr>
        <w:t xml:space="preserve"> purification (Mark 1:44).</w:t>
      </w:r>
    </w:p>
    <w:p w14:paraId="2BEB0F19"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p>
    <w:p w14:paraId="73AF04F3"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r w:rsidRPr="00A92917">
        <w:rPr>
          <w:rFonts w:ascii="Times New Roman" w:hAnsi="Times New Roman" w:cs="Times New Roman"/>
          <w:kern w:val="0"/>
          <w14:ligatures w14:val="none"/>
        </w:rPr>
        <w:t>His critique was not of the Torah itself but of hypocrisy or legalism devoid of compassion (Matthew 23). This placed him in line with prophetic tradition rather than against the law.</w:t>
      </w:r>
    </w:p>
    <w:p w14:paraId="1C5DDA70"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p>
    <w:p w14:paraId="5791AD6A" w14:textId="77777777" w:rsidR="00A92917" w:rsidRPr="00A92917" w:rsidRDefault="00A92917" w:rsidP="00A92917">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A92917">
        <w:rPr>
          <w:rFonts w:ascii="Times New Roman" w:eastAsia="Times New Roman" w:hAnsi="Times New Roman" w:cs="Times New Roman"/>
          <w:b/>
          <w:bCs/>
          <w:kern w:val="0"/>
          <w14:ligatures w14:val="none"/>
        </w:rPr>
        <w:t>b) Fulfillment, Not Rejection</w:t>
      </w:r>
    </w:p>
    <w:p w14:paraId="0AB6943A"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r w:rsidRPr="00A92917">
        <w:rPr>
          <w:rFonts w:ascii="Times New Roman" w:hAnsi="Times New Roman" w:cs="Times New Roman"/>
          <w:kern w:val="0"/>
          <w14:ligatures w14:val="none"/>
        </w:rPr>
        <w:t xml:space="preserve">The phrase “to fulfill the law” (Greek: </w:t>
      </w:r>
      <w:proofErr w:type="spellStart"/>
      <w:r w:rsidRPr="00A92917">
        <w:rPr>
          <w:rFonts w:ascii="Times New Roman" w:hAnsi="Times New Roman" w:cs="Times New Roman"/>
          <w:kern w:val="0"/>
          <w14:ligatures w14:val="none"/>
        </w:rPr>
        <w:t>plēroō</w:t>
      </w:r>
      <w:proofErr w:type="spellEnd"/>
      <w:r w:rsidRPr="00A92917">
        <w:rPr>
          <w:rFonts w:ascii="Times New Roman" w:hAnsi="Times New Roman" w:cs="Times New Roman"/>
          <w:kern w:val="0"/>
          <w14:ligatures w14:val="none"/>
        </w:rPr>
        <w:t xml:space="preserve">) should be read through a Jewish lens—meaning to live out, exemplify, or bring to its true intent. Jesus’ reinterpretations of commandments (e.g., “You have heard it said… but I say”) are </w:t>
      </w:r>
      <w:proofErr w:type="spellStart"/>
      <w:r w:rsidRPr="00A92917">
        <w:rPr>
          <w:rFonts w:ascii="Times New Roman" w:hAnsi="Times New Roman" w:cs="Times New Roman"/>
          <w:kern w:val="0"/>
          <w14:ligatures w14:val="none"/>
        </w:rPr>
        <w:t>midrashic</w:t>
      </w:r>
      <w:proofErr w:type="spellEnd"/>
      <w:r w:rsidRPr="00A92917">
        <w:rPr>
          <w:rFonts w:ascii="Times New Roman" w:hAnsi="Times New Roman" w:cs="Times New Roman"/>
          <w:kern w:val="0"/>
          <w14:ligatures w14:val="none"/>
        </w:rPr>
        <w:t xml:space="preserve"> expansions, not annulments. He deepens the commandment against murder to include anger (Matthew 5:21-22), reflecting ethical intensification.</w:t>
      </w:r>
    </w:p>
    <w:p w14:paraId="19612AF2"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p>
    <w:p w14:paraId="3FB95065" w14:textId="77777777" w:rsidR="00A92917" w:rsidRPr="00A92917" w:rsidRDefault="00A92917" w:rsidP="00A92917">
      <w:pPr>
        <w:spacing w:before="100" w:beforeAutospacing="1" w:after="100" w:afterAutospacing="1" w:line="240" w:lineRule="auto"/>
        <w:outlineLvl w:val="3"/>
        <w:rPr>
          <w:rFonts w:ascii="Times New Roman" w:eastAsia="Times New Roman" w:hAnsi="Times New Roman" w:cs="Times New Roman"/>
          <w:b/>
          <w:bCs/>
          <w:kern w:val="0"/>
          <w14:ligatures w14:val="none"/>
        </w:rPr>
      </w:pPr>
      <w:r w:rsidRPr="00A92917">
        <w:rPr>
          <w:rFonts w:ascii="Times New Roman" w:eastAsia="Times New Roman" w:hAnsi="Times New Roman" w:cs="Times New Roman"/>
          <w:b/>
          <w:bCs/>
          <w:kern w:val="0"/>
          <w14:ligatures w14:val="none"/>
        </w:rPr>
        <w:t>c) Kingdom of God and the Torah</w:t>
      </w:r>
    </w:p>
    <w:p w14:paraId="434DFB4C"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r w:rsidRPr="00A92917">
        <w:rPr>
          <w:rFonts w:ascii="Times New Roman" w:hAnsi="Times New Roman" w:cs="Times New Roman"/>
          <w:kern w:val="0"/>
          <w14:ligatures w14:val="none"/>
        </w:rPr>
        <w:t xml:space="preserve">Jesus’ central message—the Kingdom of God—is not a Christian innovation but deeply Jewish, echoing Daniel 7, Isaiah, and Second Temple </w:t>
      </w:r>
      <w:proofErr w:type="spellStart"/>
      <w:r w:rsidRPr="00A92917">
        <w:rPr>
          <w:rFonts w:ascii="Times New Roman" w:hAnsi="Times New Roman" w:cs="Times New Roman"/>
          <w:kern w:val="0"/>
          <w14:ligatures w14:val="none"/>
        </w:rPr>
        <w:t>apocalypticism</w:t>
      </w:r>
      <w:proofErr w:type="spellEnd"/>
      <w:r w:rsidRPr="00A92917">
        <w:rPr>
          <w:rFonts w:ascii="Times New Roman" w:hAnsi="Times New Roman" w:cs="Times New Roman"/>
          <w:kern w:val="0"/>
          <w14:ligatures w14:val="none"/>
        </w:rPr>
        <w:t>. The kingdom is realized through righteousness (</w:t>
      </w:r>
      <w:proofErr w:type="spellStart"/>
      <w:r w:rsidRPr="00A92917">
        <w:rPr>
          <w:rFonts w:ascii="Times New Roman" w:hAnsi="Times New Roman" w:cs="Times New Roman"/>
          <w:kern w:val="0"/>
          <w14:ligatures w14:val="none"/>
        </w:rPr>
        <w:t>tzedakah</w:t>
      </w:r>
      <w:proofErr w:type="spellEnd"/>
      <w:r w:rsidRPr="00A92917">
        <w:rPr>
          <w:rFonts w:ascii="Times New Roman" w:hAnsi="Times New Roman" w:cs="Times New Roman"/>
          <w:kern w:val="0"/>
          <w14:ligatures w14:val="none"/>
        </w:rPr>
        <w:t>), justice, and Torah faithfulness, as seen in the Beatitudes (Matthew 5).</w:t>
      </w:r>
    </w:p>
    <w:p w14:paraId="21AE6CD3"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p>
    <w:p w14:paraId="3B91A8CE"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r w:rsidRPr="00A92917">
        <w:rPr>
          <w:rFonts w:ascii="Times New Roman" w:hAnsi="Times New Roman" w:cs="Times New Roman"/>
          <w:kern w:val="0"/>
          <w14:ligatures w14:val="none"/>
        </w:rPr>
        <w:t xml:space="preserve">Jesus thus calls his followers not away from the Torah, but into deeper covenantal living, centered on </w:t>
      </w:r>
      <w:proofErr w:type="spellStart"/>
      <w:r w:rsidRPr="00A92917">
        <w:rPr>
          <w:rFonts w:ascii="Times New Roman" w:hAnsi="Times New Roman" w:cs="Times New Roman"/>
          <w:kern w:val="0"/>
          <w14:ligatures w14:val="none"/>
        </w:rPr>
        <w:t>chesed</w:t>
      </w:r>
      <w:proofErr w:type="spellEnd"/>
      <w:r w:rsidRPr="00A92917">
        <w:rPr>
          <w:rFonts w:ascii="Times New Roman" w:hAnsi="Times New Roman" w:cs="Times New Roman"/>
          <w:kern w:val="0"/>
          <w14:ligatures w14:val="none"/>
        </w:rPr>
        <w:t xml:space="preserve"> (lovingkindness) and </w:t>
      </w:r>
      <w:proofErr w:type="spellStart"/>
      <w:r w:rsidRPr="00A92917">
        <w:rPr>
          <w:rFonts w:ascii="Times New Roman" w:hAnsi="Times New Roman" w:cs="Times New Roman"/>
          <w:kern w:val="0"/>
          <w14:ligatures w14:val="none"/>
        </w:rPr>
        <w:t>emunah</w:t>
      </w:r>
      <w:proofErr w:type="spellEnd"/>
      <w:r w:rsidRPr="00A92917">
        <w:rPr>
          <w:rFonts w:ascii="Times New Roman" w:hAnsi="Times New Roman" w:cs="Times New Roman"/>
          <w:kern w:val="0"/>
          <w14:ligatures w14:val="none"/>
        </w:rPr>
        <w:t xml:space="preserve"> (faithfulness).</w:t>
      </w:r>
    </w:p>
    <w:p w14:paraId="5E05AB9E" w14:textId="77777777" w:rsidR="00A92917" w:rsidRPr="00A92917" w:rsidRDefault="00A92917" w:rsidP="00A92917">
      <w:pPr>
        <w:spacing w:after="0" w:line="240" w:lineRule="auto"/>
        <w:rPr>
          <w:rFonts w:ascii="Times New Roman" w:eastAsia="Times New Roman" w:hAnsi="Times New Roman" w:cs="Times New Roman"/>
          <w:kern w:val="0"/>
          <w14:ligatures w14:val="none"/>
        </w:rPr>
      </w:pPr>
      <w:r w:rsidRPr="00A92917">
        <w:rPr>
          <w:rFonts w:ascii="Times New Roman" w:eastAsia="Times New Roman" w:hAnsi="Times New Roman" w:cs="Times New Roman"/>
          <w:noProof/>
          <w:kern w:val="0"/>
          <w14:ligatures w14:val="none"/>
        </w:rPr>
        <mc:AlternateContent>
          <mc:Choice Requires="wps">
            <w:drawing>
              <wp:inline distT="0" distB="0" distL="0" distR="0" wp14:anchorId="4109542F" wp14:editId="1DEF5882">
                <wp:extent cx="5943600" cy="1270"/>
                <wp:effectExtent l="0" t="31750" r="0" b="36830"/>
                <wp:docPr id="153286781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713A8AE4" id="Rectangle 2"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1A95C2DD" w14:textId="77777777" w:rsidR="00A92917" w:rsidRPr="00A92917" w:rsidRDefault="00A92917" w:rsidP="00A92917">
      <w:pPr>
        <w:spacing w:before="100" w:beforeAutospacing="1" w:after="100" w:afterAutospacing="1" w:line="240" w:lineRule="auto"/>
        <w:outlineLvl w:val="2"/>
        <w:rPr>
          <w:rFonts w:ascii="Times New Roman" w:hAnsi="Times New Roman" w:cs="Times New Roman"/>
          <w:b/>
          <w:bCs/>
          <w:kern w:val="0"/>
          <w:sz w:val="27"/>
          <w:szCs w:val="27"/>
          <w14:ligatures w14:val="none"/>
        </w:rPr>
      </w:pPr>
      <w:r w:rsidRPr="00A92917">
        <w:rPr>
          <w:rFonts w:ascii="Times New Roman" w:eastAsia="Times New Roman" w:hAnsi="Times New Roman" w:cs="Times New Roman"/>
          <w:b/>
          <w:bCs/>
          <w:kern w:val="0"/>
          <w:sz w:val="27"/>
          <w:szCs w:val="27"/>
          <w14:ligatures w14:val="none"/>
        </w:rPr>
        <w:t>Conclusion</w:t>
      </w:r>
    </w:p>
    <w:p w14:paraId="7E61526D"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p>
    <w:p w14:paraId="76A41E00" w14:textId="77777777" w:rsidR="00A92917" w:rsidRPr="00A92917" w:rsidRDefault="00A92917" w:rsidP="00A92917">
      <w:pPr>
        <w:spacing w:before="100" w:beforeAutospacing="1" w:after="100" w:afterAutospacing="1" w:line="240" w:lineRule="auto"/>
        <w:rPr>
          <w:rFonts w:ascii="Times New Roman" w:hAnsi="Times New Roman" w:cs="Times New Roman"/>
          <w:kern w:val="0"/>
          <w14:ligatures w14:val="none"/>
        </w:rPr>
      </w:pPr>
      <w:r w:rsidRPr="00A92917">
        <w:rPr>
          <w:rFonts w:ascii="Times New Roman" w:hAnsi="Times New Roman" w:cs="Times New Roman"/>
          <w:kern w:val="0"/>
          <w14:ligatures w14:val="none"/>
        </w:rPr>
        <w:lastRenderedPageBreak/>
        <w:t>To rightly understand Jesus of Nazareth, one must embrace his identity as a Jewish sage and Torah teacher. His teachings were firmly embedded in first-century Judaism, his methods were consistent with rabbinic norms, and his message upheld the eternal value of the Torah. Detaching Jesus from his Jewish roots not only distorts his message but renders the New Testament incomprehensible. Jesus did not come to start a new religion, but to renew and fulfill the covenantal life laid out in the Hebrew Scriptures.</w:t>
      </w:r>
    </w:p>
    <w:p w14:paraId="111FD054" w14:textId="77777777" w:rsidR="00A92917" w:rsidRPr="00A92917" w:rsidRDefault="00A92917" w:rsidP="00A92917">
      <w:pPr>
        <w:spacing w:after="0" w:line="240" w:lineRule="auto"/>
        <w:rPr>
          <w:rFonts w:ascii="Times New Roman" w:eastAsia="Times New Roman" w:hAnsi="Times New Roman" w:cs="Times New Roman"/>
          <w:kern w:val="0"/>
          <w14:ligatures w14:val="none"/>
        </w:rPr>
      </w:pPr>
      <w:r w:rsidRPr="00A92917">
        <w:rPr>
          <w:rFonts w:ascii="Times New Roman" w:eastAsia="Times New Roman" w:hAnsi="Times New Roman" w:cs="Times New Roman"/>
          <w:noProof/>
          <w:kern w:val="0"/>
          <w14:ligatures w14:val="none"/>
        </w:rPr>
        <mc:AlternateContent>
          <mc:Choice Requires="wps">
            <w:drawing>
              <wp:inline distT="0" distB="0" distL="0" distR="0" wp14:anchorId="02232702" wp14:editId="199C188C">
                <wp:extent cx="5943600" cy="1270"/>
                <wp:effectExtent l="0" t="31750" r="0" b="36830"/>
                <wp:docPr id="2107519245"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52415D17" id="Rectangle 1"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0C87D067" w14:textId="77777777" w:rsidR="00A92917" w:rsidRPr="00A92917" w:rsidRDefault="00A92917" w:rsidP="00A92917">
      <w:pPr>
        <w:spacing w:before="100" w:beforeAutospacing="1" w:after="100" w:afterAutospacing="1" w:line="240" w:lineRule="auto"/>
        <w:outlineLvl w:val="2"/>
        <w:rPr>
          <w:rFonts w:ascii="Times New Roman" w:hAnsi="Times New Roman" w:cs="Times New Roman"/>
          <w:b/>
          <w:bCs/>
          <w:kern w:val="0"/>
          <w:sz w:val="27"/>
          <w:szCs w:val="27"/>
          <w14:ligatures w14:val="none"/>
        </w:rPr>
      </w:pPr>
      <w:r w:rsidRPr="00A92917">
        <w:rPr>
          <w:rFonts w:ascii="Times New Roman" w:eastAsia="Times New Roman" w:hAnsi="Times New Roman" w:cs="Times New Roman"/>
          <w:b/>
          <w:bCs/>
          <w:kern w:val="0"/>
          <w:sz w:val="27"/>
          <w:szCs w:val="27"/>
          <w14:ligatures w14:val="none"/>
        </w:rPr>
        <w:t>Bibliography</w:t>
      </w:r>
    </w:p>
    <w:p w14:paraId="5152C780" w14:textId="77777777" w:rsidR="00A92917" w:rsidRPr="00A92917" w:rsidRDefault="00A92917" w:rsidP="00A92917">
      <w:pPr>
        <w:numPr>
          <w:ilvl w:val="0"/>
          <w:numId w:val="1"/>
        </w:numPr>
        <w:spacing w:before="100" w:beforeAutospacing="1" w:after="100" w:afterAutospacing="1" w:line="240" w:lineRule="auto"/>
        <w:rPr>
          <w:rFonts w:ascii="Times New Roman" w:hAnsi="Times New Roman" w:cs="Times New Roman"/>
          <w:kern w:val="0"/>
          <w14:ligatures w14:val="none"/>
        </w:rPr>
      </w:pPr>
      <w:proofErr w:type="spellStart"/>
      <w:r w:rsidRPr="00A92917">
        <w:rPr>
          <w:rFonts w:ascii="Times New Roman" w:hAnsi="Times New Roman" w:cs="Times New Roman"/>
          <w:kern w:val="0"/>
          <w14:ligatures w14:val="none"/>
        </w:rPr>
        <w:t>Bivin</w:t>
      </w:r>
      <w:proofErr w:type="spellEnd"/>
      <w:r w:rsidRPr="00A92917">
        <w:rPr>
          <w:rFonts w:ascii="Times New Roman" w:hAnsi="Times New Roman" w:cs="Times New Roman"/>
          <w:kern w:val="0"/>
          <w14:ligatures w14:val="none"/>
        </w:rPr>
        <w:t xml:space="preserve">, David. (2005). New Light on the Difficult Words of Jesus: Insights from His Jewish Context. </w:t>
      </w:r>
      <w:proofErr w:type="spellStart"/>
      <w:r w:rsidRPr="00A92917">
        <w:rPr>
          <w:rFonts w:ascii="Times New Roman" w:hAnsi="Times New Roman" w:cs="Times New Roman"/>
          <w:kern w:val="0"/>
          <w14:ligatures w14:val="none"/>
        </w:rPr>
        <w:t>En-Gedi</w:t>
      </w:r>
      <w:proofErr w:type="spellEnd"/>
      <w:r w:rsidRPr="00A92917">
        <w:rPr>
          <w:rFonts w:ascii="Times New Roman" w:hAnsi="Times New Roman" w:cs="Times New Roman"/>
          <w:kern w:val="0"/>
          <w14:ligatures w14:val="none"/>
        </w:rPr>
        <w:t xml:space="preserve"> Resource Center.</w:t>
      </w:r>
    </w:p>
    <w:p w14:paraId="6FBC494C" w14:textId="77777777" w:rsidR="00A92917" w:rsidRPr="00A92917" w:rsidRDefault="00A92917" w:rsidP="00A92917">
      <w:pPr>
        <w:numPr>
          <w:ilvl w:val="0"/>
          <w:numId w:val="1"/>
        </w:numPr>
        <w:spacing w:before="100" w:beforeAutospacing="1" w:after="100" w:afterAutospacing="1" w:line="240" w:lineRule="auto"/>
        <w:rPr>
          <w:rFonts w:ascii="Times New Roman" w:hAnsi="Times New Roman" w:cs="Times New Roman"/>
          <w:kern w:val="0"/>
          <w14:ligatures w14:val="none"/>
        </w:rPr>
      </w:pPr>
      <w:proofErr w:type="spellStart"/>
      <w:r w:rsidRPr="00A92917">
        <w:rPr>
          <w:rFonts w:ascii="Times New Roman" w:hAnsi="Times New Roman" w:cs="Times New Roman"/>
          <w:kern w:val="0"/>
          <w14:ligatures w14:val="none"/>
        </w:rPr>
        <w:t>Flusser</w:t>
      </w:r>
      <w:proofErr w:type="spellEnd"/>
      <w:r w:rsidRPr="00A92917">
        <w:rPr>
          <w:rFonts w:ascii="Times New Roman" w:hAnsi="Times New Roman" w:cs="Times New Roman"/>
          <w:kern w:val="0"/>
          <w14:ligatures w14:val="none"/>
        </w:rPr>
        <w:t>, David. (2007). Jesus. Jerusalem Perspective.</w:t>
      </w:r>
    </w:p>
    <w:p w14:paraId="2554D39C" w14:textId="77777777" w:rsidR="00A92917" w:rsidRPr="00A92917" w:rsidRDefault="00A92917" w:rsidP="00A92917">
      <w:pPr>
        <w:numPr>
          <w:ilvl w:val="0"/>
          <w:numId w:val="1"/>
        </w:numPr>
        <w:spacing w:before="100" w:beforeAutospacing="1" w:after="100" w:afterAutospacing="1" w:line="240" w:lineRule="auto"/>
        <w:rPr>
          <w:rFonts w:ascii="Times New Roman" w:hAnsi="Times New Roman" w:cs="Times New Roman"/>
          <w:kern w:val="0"/>
          <w14:ligatures w14:val="none"/>
        </w:rPr>
      </w:pPr>
      <w:r w:rsidRPr="00A92917">
        <w:rPr>
          <w:rFonts w:ascii="Times New Roman" w:hAnsi="Times New Roman" w:cs="Times New Roman"/>
          <w:kern w:val="0"/>
          <w14:ligatures w14:val="none"/>
        </w:rPr>
        <w:t>Levine, Amy-Jill. (2006). The Misunderstood Jew: The Church and the Scandal of the Jewish Jesus. HarperOne.</w:t>
      </w:r>
    </w:p>
    <w:p w14:paraId="4246C9D5" w14:textId="77777777" w:rsidR="00A92917" w:rsidRPr="00A92917" w:rsidRDefault="00A92917" w:rsidP="00A92917">
      <w:pPr>
        <w:numPr>
          <w:ilvl w:val="0"/>
          <w:numId w:val="1"/>
        </w:numPr>
        <w:spacing w:before="100" w:beforeAutospacing="1" w:after="100" w:afterAutospacing="1" w:line="240" w:lineRule="auto"/>
        <w:rPr>
          <w:rFonts w:ascii="Times New Roman" w:hAnsi="Times New Roman" w:cs="Times New Roman"/>
          <w:kern w:val="0"/>
          <w14:ligatures w14:val="none"/>
        </w:rPr>
      </w:pPr>
      <w:proofErr w:type="spellStart"/>
      <w:r w:rsidRPr="00A92917">
        <w:rPr>
          <w:rFonts w:ascii="Times New Roman" w:hAnsi="Times New Roman" w:cs="Times New Roman"/>
          <w:kern w:val="0"/>
          <w14:ligatures w14:val="none"/>
        </w:rPr>
        <w:t>Neusner</w:t>
      </w:r>
      <w:proofErr w:type="spellEnd"/>
      <w:r w:rsidRPr="00A92917">
        <w:rPr>
          <w:rFonts w:ascii="Times New Roman" w:hAnsi="Times New Roman" w:cs="Times New Roman"/>
          <w:kern w:val="0"/>
          <w14:ligatures w14:val="none"/>
        </w:rPr>
        <w:t>, Jacob. (1993). A Rabbi Talks with Jesus. Doubleday.</w:t>
      </w:r>
    </w:p>
    <w:p w14:paraId="30B9D921" w14:textId="77777777" w:rsidR="00A92917" w:rsidRPr="00A92917" w:rsidRDefault="00A92917" w:rsidP="00A92917">
      <w:pPr>
        <w:numPr>
          <w:ilvl w:val="0"/>
          <w:numId w:val="1"/>
        </w:numPr>
        <w:spacing w:before="100" w:beforeAutospacing="1" w:after="100" w:afterAutospacing="1" w:line="240" w:lineRule="auto"/>
        <w:rPr>
          <w:rFonts w:ascii="Times New Roman" w:hAnsi="Times New Roman" w:cs="Times New Roman"/>
          <w:kern w:val="0"/>
          <w14:ligatures w14:val="none"/>
        </w:rPr>
      </w:pPr>
      <w:proofErr w:type="spellStart"/>
      <w:r w:rsidRPr="00A92917">
        <w:rPr>
          <w:rFonts w:ascii="Times New Roman" w:hAnsi="Times New Roman" w:cs="Times New Roman"/>
          <w:kern w:val="0"/>
          <w14:ligatures w14:val="none"/>
        </w:rPr>
        <w:t>Vermes</w:t>
      </w:r>
      <w:proofErr w:type="spellEnd"/>
      <w:r w:rsidRPr="00A92917">
        <w:rPr>
          <w:rFonts w:ascii="Times New Roman" w:hAnsi="Times New Roman" w:cs="Times New Roman"/>
          <w:kern w:val="0"/>
          <w14:ligatures w14:val="none"/>
        </w:rPr>
        <w:t xml:space="preserve">, </w:t>
      </w:r>
      <w:proofErr w:type="spellStart"/>
      <w:r w:rsidRPr="00A92917">
        <w:rPr>
          <w:rFonts w:ascii="Times New Roman" w:hAnsi="Times New Roman" w:cs="Times New Roman"/>
          <w:kern w:val="0"/>
          <w14:ligatures w14:val="none"/>
        </w:rPr>
        <w:t>Geza</w:t>
      </w:r>
      <w:proofErr w:type="spellEnd"/>
      <w:r w:rsidRPr="00A92917">
        <w:rPr>
          <w:rFonts w:ascii="Times New Roman" w:hAnsi="Times New Roman" w:cs="Times New Roman"/>
          <w:kern w:val="0"/>
          <w14:ligatures w14:val="none"/>
        </w:rPr>
        <w:t>. (2001). The Changing Faces of Jesus. Penguin.</w:t>
      </w:r>
    </w:p>
    <w:p w14:paraId="64CB9E47" w14:textId="77777777" w:rsidR="00A92917" w:rsidRPr="00A92917" w:rsidRDefault="00A92917" w:rsidP="00A92917">
      <w:pPr>
        <w:numPr>
          <w:ilvl w:val="0"/>
          <w:numId w:val="1"/>
        </w:numPr>
        <w:spacing w:before="100" w:beforeAutospacing="1" w:after="100" w:afterAutospacing="1" w:line="240" w:lineRule="auto"/>
        <w:rPr>
          <w:rFonts w:ascii="Times New Roman" w:hAnsi="Times New Roman" w:cs="Times New Roman"/>
          <w:kern w:val="0"/>
          <w14:ligatures w14:val="none"/>
        </w:rPr>
      </w:pPr>
      <w:r w:rsidRPr="00A92917">
        <w:rPr>
          <w:rFonts w:ascii="Times New Roman" w:hAnsi="Times New Roman" w:cs="Times New Roman"/>
          <w:kern w:val="0"/>
          <w14:ligatures w14:val="none"/>
        </w:rPr>
        <w:t>Sanders, E.P. (1985). Jesus and Judaism. Fortress Press.</w:t>
      </w:r>
    </w:p>
    <w:p w14:paraId="7283FB15" w14:textId="77777777" w:rsidR="00A92917" w:rsidRPr="00A92917" w:rsidRDefault="00A92917" w:rsidP="00A92917">
      <w:pPr>
        <w:numPr>
          <w:ilvl w:val="0"/>
          <w:numId w:val="1"/>
        </w:numPr>
        <w:spacing w:before="100" w:beforeAutospacing="1" w:after="100" w:afterAutospacing="1" w:line="240" w:lineRule="auto"/>
        <w:rPr>
          <w:rFonts w:ascii="Times New Roman" w:hAnsi="Times New Roman" w:cs="Times New Roman"/>
          <w:kern w:val="0"/>
          <w14:ligatures w14:val="none"/>
        </w:rPr>
      </w:pPr>
      <w:proofErr w:type="spellStart"/>
      <w:r w:rsidRPr="00A92917">
        <w:rPr>
          <w:rFonts w:ascii="Times New Roman" w:hAnsi="Times New Roman" w:cs="Times New Roman"/>
          <w:kern w:val="0"/>
          <w14:ligatures w14:val="none"/>
        </w:rPr>
        <w:t>Chilton</w:t>
      </w:r>
      <w:proofErr w:type="spellEnd"/>
      <w:r w:rsidRPr="00A92917">
        <w:rPr>
          <w:rFonts w:ascii="Times New Roman" w:hAnsi="Times New Roman" w:cs="Times New Roman"/>
          <w:kern w:val="0"/>
          <w14:ligatures w14:val="none"/>
        </w:rPr>
        <w:t>, Bruce. (2000). Rabbi Jesus: An Intimate Biography. Doubleday.</w:t>
      </w:r>
    </w:p>
    <w:p w14:paraId="4C44470B" w14:textId="77777777" w:rsidR="00A92917" w:rsidRPr="00A92917" w:rsidRDefault="00A92917" w:rsidP="00A92917">
      <w:pPr>
        <w:numPr>
          <w:ilvl w:val="0"/>
          <w:numId w:val="1"/>
        </w:numPr>
        <w:spacing w:before="100" w:beforeAutospacing="1" w:after="100" w:afterAutospacing="1" w:line="240" w:lineRule="auto"/>
        <w:rPr>
          <w:rFonts w:ascii="Times New Roman" w:hAnsi="Times New Roman" w:cs="Times New Roman"/>
          <w:kern w:val="0"/>
          <w14:ligatures w14:val="none"/>
        </w:rPr>
      </w:pPr>
      <w:r w:rsidRPr="00A92917">
        <w:rPr>
          <w:rFonts w:ascii="Times New Roman" w:hAnsi="Times New Roman" w:cs="Times New Roman"/>
          <w:kern w:val="0"/>
          <w14:ligatures w14:val="none"/>
        </w:rPr>
        <w:t>Wright, N.T. (2012). How God Became King: The Forgotten Story of the Gospels. HarperOne.</w:t>
      </w:r>
    </w:p>
    <w:p w14:paraId="726658EB" w14:textId="77777777" w:rsidR="00A92917" w:rsidRPr="00A92917" w:rsidRDefault="00A92917" w:rsidP="00A92917">
      <w:pPr>
        <w:numPr>
          <w:ilvl w:val="0"/>
          <w:numId w:val="1"/>
        </w:numPr>
        <w:spacing w:before="100" w:beforeAutospacing="1" w:after="100" w:afterAutospacing="1" w:line="240" w:lineRule="auto"/>
        <w:rPr>
          <w:rFonts w:ascii="Times New Roman" w:hAnsi="Times New Roman" w:cs="Times New Roman"/>
          <w:kern w:val="0"/>
          <w14:ligatures w14:val="none"/>
        </w:rPr>
      </w:pPr>
      <w:proofErr w:type="spellStart"/>
      <w:r w:rsidRPr="00A92917">
        <w:rPr>
          <w:rFonts w:ascii="Times New Roman" w:hAnsi="Times New Roman" w:cs="Times New Roman"/>
          <w:kern w:val="0"/>
          <w14:ligatures w14:val="none"/>
        </w:rPr>
        <w:t>Fredriksen</w:t>
      </w:r>
      <w:proofErr w:type="spellEnd"/>
      <w:r w:rsidRPr="00A92917">
        <w:rPr>
          <w:rFonts w:ascii="Times New Roman" w:hAnsi="Times New Roman" w:cs="Times New Roman"/>
          <w:kern w:val="0"/>
          <w14:ligatures w14:val="none"/>
        </w:rPr>
        <w:t>, Paula. (1999). Jesus of Nazareth, King of the Jews. Vintage.</w:t>
      </w:r>
    </w:p>
    <w:p w14:paraId="5B6E2D19" w14:textId="77777777" w:rsidR="00A92917" w:rsidRPr="00A92917" w:rsidRDefault="00A92917" w:rsidP="00A92917">
      <w:pPr>
        <w:numPr>
          <w:ilvl w:val="0"/>
          <w:numId w:val="1"/>
        </w:numPr>
        <w:spacing w:before="100" w:beforeAutospacing="1" w:after="100" w:afterAutospacing="1" w:line="240" w:lineRule="auto"/>
        <w:rPr>
          <w:rFonts w:ascii="Times New Roman" w:hAnsi="Times New Roman" w:cs="Times New Roman"/>
          <w:kern w:val="0"/>
          <w14:ligatures w14:val="none"/>
        </w:rPr>
      </w:pPr>
      <w:r w:rsidRPr="00A92917">
        <w:rPr>
          <w:rFonts w:ascii="Times New Roman" w:hAnsi="Times New Roman" w:cs="Times New Roman"/>
          <w:kern w:val="0"/>
          <w14:ligatures w14:val="none"/>
        </w:rPr>
        <w:t>Young, Brad H. (1995). Jesus the Jewish Theologian. Hendrickson.</w:t>
      </w:r>
    </w:p>
    <w:p w14:paraId="165E3113" w14:textId="77777777" w:rsidR="00A92917" w:rsidRDefault="00A92917"/>
    <w:sectPr w:rsidR="00A929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101A4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053693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2917"/>
    <w:rsid w:val="009D2005"/>
    <w:rsid w:val="00A92917"/>
    <w:rsid w:val="00BB22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79F01B9"/>
  <w15:chartTrackingRefBased/>
  <w15:docId w15:val="{19F2B9A8-9F32-C640-8C26-3EDCF22B0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9291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9291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9291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A9291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9291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9291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9291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9291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9291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291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9291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9291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9291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9291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9291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9291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9291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92917"/>
    <w:rPr>
      <w:rFonts w:eastAsiaTheme="majorEastAsia" w:cstheme="majorBidi"/>
      <w:color w:val="272727" w:themeColor="text1" w:themeTint="D8"/>
    </w:rPr>
  </w:style>
  <w:style w:type="paragraph" w:styleId="Title">
    <w:name w:val="Title"/>
    <w:basedOn w:val="Normal"/>
    <w:next w:val="Normal"/>
    <w:link w:val="TitleChar"/>
    <w:uiPriority w:val="10"/>
    <w:qFormat/>
    <w:rsid w:val="00A9291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291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9291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9291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92917"/>
    <w:pPr>
      <w:spacing w:before="160"/>
      <w:jc w:val="center"/>
    </w:pPr>
    <w:rPr>
      <w:i/>
      <w:iCs/>
      <w:color w:val="404040" w:themeColor="text1" w:themeTint="BF"/>
    </w:rPr>
  </w:style>
  <w:style w:type="character" w:customStyle="1" w:styleId="QuoteChar">
    <w:name w:val="Quote Char"/>
    <w:basedOn w:val="DefaultParagraphFont"/>
    <w:link w:val="Quote"/>
    <w:uiPriority w:val="29"/>
    <w:rsid w:val="00A92917"/>
    <w:rPr>
      <w:i/>
      <w:iCs/>
      <w:color w:val="404040" w:themeColor="text1" w:themeTint="BF"/>
    </w:rPr>
  </w:style>
  <w:style w:type="paragraph" w:styleId="ListParagraph">
    <w:name w:val="List Paragraph"/>
    <w:basedOn w:val="Normal"/>
    <w:uiPriority w:val="34"/>
    <w:qFormat/>
    <w:rsid w:val="00A92917"/>
    <w:pPr>
      <w:ind w:left="720"/>
      <w:contextualSpacing/>
    </w:pPr>
  </w:style>
  <w:style w:type="character" w:styleId="IntenseEmphasis">
    <w:name w:val="Intense Emphasis"/>
    <w:basedOn w:val="DefaultParagraphFont"/>
    <w:uiPriority w:val="21"/>
    <w:qFormat/>
    <w:rsid w:val="00A92917"/>
    <w:rPr>
      <w:i/>
      <w:iCs/>
      <w:color w:val="0F4761" w:themeColor="accent1" w:themeShade="BF"/>
    </w:rPr>
  </w:style>
  <w:style w:type="paragraph" w:styleId="IntenseQuote">
    <w:name w:val="Intense Quote"/>
    <w:basedOn w:val="Normal"/>
    <w:next w:val="Normal"/>
    <w:link w:val="IntenseQuoteChar"/>
    <w:uiPriority w:val="30"/>
    <w:qFormat/>
    <w:rsid w:val="00A9291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92917"/>
    <w:rPr>
      <w:i/>
      <w:iCs/>
      <w:color w:val="0F4761" w:themeColor="accent1" w:themeShade="BF"/>
    </w:rPr>
  </w:style>
  <w:style w:type="character" w:styleId="IntenseReference">
    <w:name w:val="Intense Reference"/>
    <w:basedOn w:val="DefaultParagraphFont"/>
    <w:uiPriority w:val="32"/>
    <w:qFormat/>
    <w:rsid w:val="00A92917"/>
    <w:rPr>
      <w:b/>
      <w:bCs/>
      <w:smallCaps/>
      <w:color w:val="0F4761" w:themeColor="accent1" w:themeShade="BF"/>
      <w:spacing w:val="5"/>
    </w:rPr>
  </w:style>
  <w:style w:type="paragraph" w:customStyle="1" w:styleId="p1">
    <w:name w:val="p1"/>
    <w:basedOn w:val="Normal"/>
    <w:rsid w:val="00A92917"/>
    <w:pPr>
      <w:spacing w:before="100" w:beforeAutospacing="1" w:after="100" w:afterAutospacing="1" w:line="240" w:lineRule="auto"/>
    </w:pPr>
    <w:rPr>
      <w:rFonts w:ascii="Times New Roman" w:hAnsi="Times New Roman" w:cs="Times New Roman"/>
      <w:kern w:val="0"/>
      <w14:ligatures w14:val="none"/>
    </w:rPr>
  </w:style>
  <w:style w:type="character" w:customStyle="1" w:styleId="s1">
    <w:name w:val="s1"/>
    <w:basedOn w:val="DefaultParagraphFont"/>
    <w:rsid w:val="00A92917"/>
  </w:style>
  <w:style w:type="paragraph" w:customStyle="1" w:styleId="p2">
    <w:name w:val="p2"/>
    <w:basedOn w:val="Normal"/>
    <w:rsid w:val="00A92917"/>
    <w:pPr>
      <w:spacing w:before="100" w:beforeAutospacing="1" w:after="100" w:afterAutospacing="1" w:line="240" w:lineRule="auto"/>
    </w:pPr>
    <w:rPr>
      <w:rFonts w:ascii="Times New Roman" w:hAnsi="Times New Roman" w:cs="Times New Roman"/>
      <w:kern w:val="0"/>
      <w14:ligatures w14:val="none"/>
    </w:rPr>
  </w:style>
  <w:style w:type="character" w:customStyle="1" w:styleId="s2">
    <w:name w:val="s2"/>
    <w:basedOn w:val="DefaultParagraphFont"/>
    <w:rsid w:val="00A92917"/>
  </w:style>
  <w:style w:type="paragraph" w:customStyle="1" w:styleId="p3">
    <w:name w:val="p3"/>
    <w:basedOn w:val="Normal"/>
    <w:rsid w:val="00A92917"/>
    <w:pPr>
      <w:spacing w:before="100" w:beforeAutospacing="1" w:after="100" w:afterAutospacing="1" w:line="240" w:lineRule="auto"/>
    </w:pPr>
    <w:rPr>
      <w:rFonts w:ascii="Times New Roman" w:hAnsi="Times New Roman" w:cs="Times New Roman"/>
      <w:kern w:val="0"/>
      <w14:ligatures w14:val="none"/>
    </w:rPr>
  </w:style>
  <w:style w:type="character" w:customStyle="1" w:styleId="s3">
    <w:name w:val="s3"/>
    <w:basedOn w:val="DefaultParagraphFont"/>
    <w:rsid w:val="00A92917"/>
  </w:style>
  <w:style w:type="character" w:customStyle="1" w:styleId="s4">
    <w:name w:val="s4"/>
    <w:basedOn w:val="DefaultParagraphFont"/>
    <w:rsid w:val="00A929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952</Words>
  <Characters>5433</Characters>
  <Application>Microsoft Office Word</Application>
  <DocSecurity>0</DocSecurity>
  <Lines>45</Lines>
  <Paragraphs>12</Paragraphs>
  <ScaleCrop>false</ScaleCrop>
  <Company/>
  <LinksUpToDate>false</LinksUpToDate>
  <CharactersWithSpaces>6373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Ferguson</dc:creator>
  <cp:keywords/>
  <dc:description/>
  <cp:lastModifiedBy>Roger Ferguson</cp:lastModifiedBy>
  <cp:revision>2</cp:revision>
  <dcterms:created xsi:type="dcterms:W3CDTF">2026-01-04T21:52:00Z</dcterms:created>
  <dcterms:modified xsi:type="dcterms:W3CDTF">2026-01-04T21:52:00Z</dcterms:modified>
</cp:coreProperties>
</file>