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1A2314" w14:textId="77777777" w:rsidR="0058497B" w:rsidRPr="0058497B" w:rsidRDefault="0058497B" w:rsidP="0058497B">
      <w:pPr>
        <w:spacing w:before="100" w:beforeAutospacing="1" w:after="100" w:afterAutospacing="1" w:line="240" w:lineRule="auto"/>
        <w:outlineLvl w:val="0"/>
        <w:rPr>
          <w:rFonts w:ascii="Times New Roman" w:eastAsia="Times New Roman" w:hAnsi="Times New Roman" w:cs="Times New Roman"/>
          <w:b/>
          <w:bCs/>
          <w:kern w:val="36"/>
          <w:sz w:val="48"/>
          <w:szCs w:val="48"/>
          <w14:ligatures w14:val="none"/>
        </w:rPr>
      </w:pPr>
      <w:r w:rsidRPr="0058497B">
        <w:rPr>
          <w:rFonts w:ascii="Times New Roman" w:eastAsia="Times New Roman" w:hAnsi="Times New Roman" w:cs="Times New Roman"/>
          <w:b/>
          <w:bCs/>
          <w:kern w:val="36"/>
          <w:sz w:val="48"/>
          <w:szCs w:val="48"/>
          <w14:ligatures w14:val="none"/>
        </w:rPr>
        <w:t>What Are the Dead Sea Scrolls?</w:t>
      </w:r>
    </w:p>
    <w:p w14:paraId="7CC095CC" w14:textId="77777777" w:rsidR="0058497B" w:rsidRPr="0058497B" w:rsidRDefault="0058497B" w:rsidP="0058497B">
      <w:pPr>
        <w:spacing w:after="0" w:line="240" w:lineRule="auto"/>
        <w:rPr>
          <w:rFonts w:ascii="Times New Roman" w:hAnsi="Times New Roman" w:cs="Times New Roman"/>
          <w:kern w:val="0"/>
          <w14:ligatures w14:val="none"/>
        </w:rPr>
      </w:pPr>
      <w:r w:rsidRPr="0058497B">
        <w:rPr>
          <w:rFonts w:ascii="Times New Roman" w:eastAsia="Times New Roman" w:hAnsi="Times New Roman" w:cs="Times New Roman"/>
          <w:noProof/>
          <w:kern w:val="0"/>
          <w14:ligatures w14:val="none"/>
        </w:rPr>
        <mc:AlternateContent>
          <mc:Choice Requires="wps">
            <w:drawing>
              <wp:inline distT="0" distB="0" distL="0" distR="0" wp14:anchorId="58A85779" wp14:editId="4D309752">
                <wp:extent cx="5943600" cy="1270"/>
                <wp:effectExtent l="0" t="31750" r="0" b="36830"/>
                <wp:docPr id="2132425982"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1614725" cy="1270"/>
                        </a:xfrm>
                        <a:prstGeom prst="rect">
                          <a:avLst/>
                        </a:prstGeom>
                        <a:noFill/>
                        <a:ln w="9525">
                          <a:gradFill rotWithShape="0">
                            <a:gsLst>
                              <a:gs pos="0">
                                <a:srgbClr val="A0A0A0"/>
                              </a:gs>
                              <a:gs pos="100000">
                                <a:srgbClr val="E3E3E3"/>
                              </a:gs>
                            </a:gsLst>
                            <a:lin ang="5400000"/>
                          </a:gradFill>
                          <a:miter lim="800000"/>
                          <a:headEnd/>
                          <a:tailEnd/>
                        </a:ln>
                      </wps:spPr>
                      <wps:bodyPr rot="0" vert="horz" wrap="square" lIns="91440" tIns="45720" rIns="91440" bIns="45720" anchor="t" anchorCtr="0" upright="1">
                        <a:noAutofit/>
                      </wps:bodyPr>
                    </wps:wsp>
                  </a:graphicData>
                </a:graphic>
              </wp:inline>
            </w:drawing>
          </mc:Choice>
          <mc:Fallback>
            <w:pict>
              <v:rect w14:anchorId="550083C1" id="Rectangle 5" o:spid="_x0000_s1026" style="width:468pt;height:.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" filled="f">
                <w10:anchorlock/>
              </v:rect>
            </w:pict>
          </mc:Fallback>
        </mc:AlternateContent>
      </w:r>
    </w:p>
    <w:p w14:paraId="033FA3A8" w14:textId="77777777" w:rsidR="0058497B" w:rsidRPr="0058497B" w:rsidRDefault="0058497B" w:rsidP="0058497B">
      <w:pPr>
        <w:spacing w:before="100" w:beforeAutospacing="1" w:after="100" w:afterAutospacing="1" w:line="240" w:lineRule="auto"/>
        <w:outlineLvl w:val="1"/>
        <w:rPr>
          <w:rFonts w:ascii="Times New Roman" w:hAnsi="Times New Roman" w:cs="Times New Roman"/>
          <w:b/>
          <w:bCs/>
          <w:kern w:val="0"/>
          <w:sz w:val="36"/>
          <w:szCs w:val="36"/>
          <w14:ligatures w14:val="none"/>
        </w:rPr>
      </w:pPr>
      <w:r w:rsidRPr="0058497B">
        <w:rPr>
          <w:rFonts w:ascii="Times New Roman" w:eastAsia="Times New Roman" w:hAnsi="Times New Roman" w:cs="Times New Roman"/>
          <w:b/>
          <w:bCs/>
          <w:kern w:val="0"/>
          <w:sz w:val="36"/>
          <w:szCs w:val="36"/>
          <w14:ligatures w14:val="none"/>
        </w:rPr>
        <w:t>1. Discovery Date and Location</w:t>
      </w:r>
    </w:p>
    <w:p w14:paraId="3B7610C4" w14:textId="77777777" w:rsidR="0058497B" w:rsidRPr="0058497B" w:rsidRDefault="0058497B" w:rsidP="0058497B">
      <w:pPr>
        <w:spacing w:before="100" w:beforeAutospacing="1" w:after="100" w:afterAutospacing="1" w:line="240" w:lineRule="auto"/>
        <w:rPr>
          <w:rFonts w:ascii="Times New Roman" w:hAnsi="Times New Roman" w:cs="Times New Roman"/>
          <w:kern w:val="0"/>
          <w14:ligatures w14:val="none"/>
        </w:rPr>
      </w:pPr>
    </w:p>
    <w:p w14:paraId="3B6DF38A" w14:textId="77777777" w:rsidR="0058497B" w:rsidRPr="0058497B" w:rsidRDefault="0058497B" w:rsidP="0058497B">
      <w:pPr>
        <w:spacing w:before="100" w:beforeAutospacing="1" w:after="100" w:afterAutospacing="1" w:line="240" w:lineRule="auto"/>
        <w:rPr>
          <w:rFonts w:ascii="Times New Roman" w:hAnsi="Times New Roman" w:cs="Times New Roman"/>
          <w:kern w:val="0"/>
          <w14:ligatures w14:val="none"/>
        </w:rPr>
      </w:pPr>
      <w:r w:rsidRPr="0058497B">
        <w:rPr>
          <w:rFonts w:ascii="Times New Roman" w:hAnsi="Times New Roman" w:cs="Times New Roman"/>
          <w:kern w:val="0"/>
          <w14:ligatures w14:val="none"/>
        </w:rPr>
        <w:t xml:space="preserve">The Dead Sea Scrolls were first discovered in 1947 by a young Bedouin shepherd named Muhammad </w:t>
      </w:r>
      <w:proofErr w:type="spellStart"/>
      <w:r w:rsidRPr="0058497B">
        <w:rPr>
          <w:rFonts w:ascii="Times New Roman" w:hAnsi="Times New Roman" w:cs="Times New Roman"/>
          <w:kern w:val="0"/>
          <w14:ligatures w14:val="none"/>
        </w:rPr>
        <w:t>edh-Dhib</w:t>
      </w:r>
      <w:proofErr w:type="spellEnd"/>
      <w:r w:rsidRPr="0058497B">
        <w:rPr>
          <w:rFonts w:ascii="Times New Roman" w:hAnsi="Times New Roman" w:cs="Times New Roman"/>
          <w:kern w:val="0"/>
          <w14:ligatures w14:val="none"/>
        </w:rPr>
        <w:t xml:space="preserve"> while searching for a lost goat near </w:t>
      </w:r>
      <w:proofErr w:type="spellStart"/>
      <w:r w:rsidRPr="0058497B">
        <w:rPr>
          <w:rFonts w:ascii="Times New Roman" w:hAnsi="Times New Roman" w:cs="Times New Roman"/>
          <w:kern w:val="0"/>
          <w14:ligatures w14:val="none"/>
        </w:rPr>
        <w:t>Khirbet</w:t>
      </w:r>
      <w:proofErr w:type="spellEnd"/>
      <w:r w:rsidRPr="0058497B">
        <w:rPr>
          <w:rFonts w:ascii="Times New Roman" w:hAnsi="Times New Roman" w:cs="Times New Roman"/>
          <w:kern w:val="0"/>
          <w14:ligatures w14:val="none"/>
        </w:rPr>
        <w:t xml:space="preserve"> Qumran, an archaeological site situated along the northwestern shore of the Dead Sea, in present-day West Bank. He stumbled upon a cave—later designated Cave 1—where he found jars containing ancient scrolls wrapped in linen cloth. This initial find contained seven intact scrolls, later recognized as some of the oldest biblical manuscripts ever uncovered (</w:t>
      </w:r>
      <w:proofErr w:type="spellStart"/>
      <w:r w:rsidRPr="0058497B">
        <w:rPr>
          <w:rFonts w:ascii="Times New Roman" w:hAnsi="Times New Roman" w:cs="Times New Roman"/>
          <w:kern w:val="0"/>
          <w14:ligatures w14:val="none"/>
        </w:rPr>
        <w:t>Vermes</w:t>
      </w:r>
      <w:proofErr w:type="spellEnd"/>
      <w:r w:rsidRPr="0058497B">
        <w:rPr>
          <w:rFonts w:ascii="Times New Roman" w:hAnsi="Times New Roman" w:cs="Times New Roman"/>
          <w:kern w:val="0"/>
          <w14:ligatures w14:val="none"/>
        </w:rPr>
        <w:t>, 2012).</w:t>
      </w:r>
    </w:p>
    <w:p w14:paraId="0424D8CB" w14:textId="77777777" w:rsidR="0058497B" w:rsidRPr="0058497B" w:rsidRDefault="0058497B" w:rsidP="0058497B">
      <w:pPr>
        <w:spacing w:before="100" w:beforeAutospacing="1" w:after="100" w:afterAutospacing="1" w:line="240" w:lineRule="auto"/>
        <w:rPr>
          <w:rFonts w:ascii="Times New Roman" w:hAnsi="Times New Roman" w:cs="Times New Roman"/>
          <w:kern w:val="0"/>
          <w14:ligatures w14:val="none"/>
        </w:rPr>
      </w:pPr>
    </w:p>
    <w:p w14:paraId="149D8731" w14:textId="77777777" w:rsidR="0058497B" w:rsidRPr="0058497B" w:rsidRDefault="0058497B" w:rsidP="0058497B">
      <w:pPr>
        <w:spacing w:before="100" w:beforeAutospacing="1" w:after="100" w:afterAutospacing="1" w:line="240" w:lineRule="auto"/>
        <w:rPr>
          <w:rFonts w:ascii="Times New Roman" w:hAnsi="Times New Roman" w:cs="Times New Roman"/>
          <w:kern w:val="0"/>
          <w14:ligatures w14:val="none"/>
        </w:rPr>
      </w:pPr>
      <w:r w:rsidRPr="0058497B">
        <w:rPr>
          <w:rFonts w:ascii="Times New Roman" w:hAnsi="Times New Roman" w:cs="Times New Roman"/>
          <w:kern w:val="0"/>
          <w14:ligatures w14:val="none"/>
        </w:rPr>
        <w:t xml:space="preserve">Between 1947 and 1956, archaeologists and Bedouin tribesmen discovered eleven caves near Qumran. These caves contained over 900 manuscripts, preserved in tens of thousands of fragments. Many were hidden in clay jars, likely to protect them from Roman forces during the First Jewish–Roman War (66–73 CE). The scrolls were eventually brought to the attention of scholars and institutions, with major contributions from the École </w:t>
      </w:r>
      <w:proofErr w:type="spellStart"/>
      <w:r w:rsidRPr="0058497B">
        <w:rPr>
          <w:rFonts w:ascii="Times New Roman" w:hAnsi="Times New Roman" w:cs="Times New Roman"/>
          <w:kern w:val="0"/>
          <w14:ligatures w14:val="none"/>
        </w:rPr>
        <w:t>Biblique</w:t>
      </w:r>
      <w:proofErr w:type="spellEnd"/>
      <w:r w:rsidRPr="0058497B">
        <w:rPr>
          <w:rFonts w:ascii="Times New Roman" w:hAnsi="Times New Roman" w:cs="Times New Roman"/>
          <w:kern w:val="0"/>
          <w14:ligatures w14:val="none"/>
        </w:rPr>
        <w:t xml:space="preserve"> in Jerusalem, the Israel Antiquities Authority, and international researchers.</w:t>
      </w:r>
    </w:p>
    <w:p w14:paraId="7A58130D" w14:textId="77777777" w:rsidR="0058497B" w:rsidRPr="0058497B" w:rsidRDefault="0058497B" w:rsidP="0058497B">
      <w:pPr>
        <w:spacing w:before="100" w:beforeAutospacing="1" w:after="100" w:afterAutospacing="1" w:line="240" w:lineRule="auto"/>
        <w:rPr>
          <w:rFonts w:ascii="Times New Roman" w:hAnsi="Times New Roman" w:cs="Times New Roman"/>
          <w:kern w:val="0"/>
          <w14:ligatures w14:val="none"/>
        </w:rPr>
      </w:pPr>
    </w:p>
    <w:p w14:paraId="1FDFD907" w14:textId="77777777" w:rsidR="0058497B" w:rsidRPr="0058497B" w:rsidRDefault="0058497B" w:rsidP="0058497B">
      <w:pPr>
        <w:spacing w:before="100" w:beforeAutospacing="1" w:after="100" w:afterAutospacing="1" w:line="240" w:lineRule="auto"/>
        <w:rPr>
          <w:rFonts w:ascii="Times New Roman" w:hAnsi="Times New Roman" w:cs="Times New Roman"/>
          <w:kern w:val="0"/>
          <w14:ligatures w14:val="none"/>
        </w:rPr>
      </w:pPr>
      <w:r w:rsidRPr="0058497B">
        <w:rPr>
          <w:rFonts w:ascii="Times New Roman" w:hAnsi="Times New Roman" w:cs="Times New Roman"/>
          <w:kern w:val="0"/>
          <w14:ligatures w14:val="none"/>
        </w:rPr>
        <w:t>Adjacent to the caves, the site of Qumran was excavated in the 1950s. It revealed the remains of a settlement with communal rooms, cisterns, scriptoriums, and ritual baths (</w:t>
      </w:r>
      <w:proofErr w:type="spellStart"/>
      <w:r w:rsidRPr="0058497B">
        <w:rPr>
          <w:rFonts w:ascii="Times New Roman" w:hAnsi="Times New Roman" w:cs="Times New Roman"/>
          <w:kern w:val="0"/>
          <w14:ligatures w14:val="none"/>
        </w:rPr>
        <w:t>mikva’ot</w:t>
      </w:r>
      <w:proofErr w:type="spellEnd"/>
      <w:r w:rsidRPr="0058497B">
        <w:rPr>
          <w:rFonts w:ascii="Times New Roman" w:hAnsi="Times New Roman" w:cs="Times New Roman"/>
          <w:kern w:val="0"/>
          <w14:ligatures w14:val="none"/>
        </w:rPr>
        <w:t xml:space="preserve">), leading scholars to associate the scrolls with a Jewish sectarian community—possibly the Essenes, a group described by Josephus, </w:t>
      </w:r>
      <w:proofErr w:type="spellStart"/>
      <w:r w:rsidRPr="0058497B">
        <w:rPr>
          <w:rFonts w:ascii="Times New Roman" w:hAnsi="Times New Roman" w:cs="Times New Roman"/>
          <w:kern w:val="0"/>
          <w14:ligatures w14:val="none"/>
        </w:rPr>
        <w:t>Philo</w:t>
      </w:r>
      <w:proofErr w:type="spellEnd"/>
      <w:r w:rsidRPr="0058497B">
        <w:rPr>
          <w:rFonts w:ascii="Times New Roman" w:hAnsi="Times New Roman" w:cs="Times New Roman"/>
          <w:kern w:val="0"/>
          <w14:ligatures w14:val="none"/>
        </w:rPr>
        <w:t xml:space="preserve">, and Pliny the Elder. However, some scholars argue for alternative associations, including </w:t>
      </w:r>
      <w:proofErr w:type="spellStart"/>
      <w:r w:rsidRPr="0058497B">
        <w:rPr>
          <w:rFonts w:ascii="Times New Roman" w:hAnsi="Times New Roman" w:cs="Times New Roman"/>
          <w:kern w:val="0"/>
          <w14:ligatures w14:val="none"/>
        </w:rPr>
        <w:t>Sadducean</w:t>
      </w:r>
      <w:proofErr w:type="spellEnd"/>
      <w:r w:rsidRPr="0058497B">
        <w:rPr>
          <w:rFonts w:ascii="Times New Roman" w:hAnsi="Times New Roman" w:cs="Times New Roman"/>
          <w:kern w:val="0"/>
          <w14:ligatures w14:val="none"/>
        </w:rPr>
        <w:t xml:space="preserve"> origins or a broader scribal culture unrelated to a single sect.</w:t>
      </w:r>
    </w:p>
    <w:p w14:paraId="6995AC65" w14:textId="77777777" w:rsidR="0058497B" w:rsidRPr="0058497B" w:rsidRDefault="0058497B" w:rsidP="0058497B">
      <w:pPr>
        <w:spacing w:after="0" w:line="240" w:lineRule="auto"/>
        <w:rPr>
          <w:rFonts w:ascii="Times New Roman" w:eastAsia="Times New Roman" w:hAnsi="Times New Roman" w:cs="Times New Roman"/>
          <w:kern w:val="0"/>
          <w14:ligatures w14:val="none"/>
        </w:rPr>
      </w:pPr>
      <w:r w:rsidRPr="0058497B">
        <w:rPr>
          <w:rFonts w:ascii="Times New Roman" w:eastAsia="Times New Roman" w:hAnsi="Times New Roman" w:cs="Times New Roman"/>
          <w:noProof/>
          <w:kern w:val="0"/>
          <w14:ligatures w14:val="none"/>
        </w:rPr>
        <mc:AlternateContent>
          <mc:Choice Requires="wps">
            <w:drawing>
              <wp:inline distT="0" distB="0" distL="0" distR="0" wp14:anchorId="5C2A00E0" wp14:editId="52707448">
                <wp:extent cx="5943600" cy="1270"/>
                <wp:effectExtent l="0" t="31750" r="0" b="36830"/>
                <wp:docPr id="1852353369"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1614725" cy="1270"/>
                        </a:xfrm>
                        <a:prstGeom prst="rect">
                          <a:avLst/>
                        </a:prstGeom>
                        <a:noFill/>
                        <a:ln w="9525">
                          <a:gradFill rotWithShape="0">
                            <a:gsLst>
                              <a:gs pos="0">
                                <a:srgbClr val="A0A0A0"/>
                              </a:gs>
                              <a:gs pos="100000">
                                <a:srgbClr val="E3E3E3"/>
                              </a:gs>
                            </a:gsLst>
                            <a:lin ang="5400000"/>
                          </a:gradFill>
                          <a:miter lim="800000"/>
                          <a:headEnd/>
                          <a:tailEnd/>
                        </a:ln>
                      </wps:spPr>
                      <wps:bodyPr rot="0" vert="horz" wrap="square" lIns="91440" tIns="45720" rIns="91440" bIns="45720" anchor="t" anchorCtr="0" upright="1">
                        <a:noAutofit/>
                      </wps:bodyPr>
                    </wps:wsp>
                  </a:graphicData>
                </a:graphic>
              </wp:inline>
            </w:drawing>
          </mc:Choice>
          <mc:Fallback>
            <w:pict>
              <v:rect w14:anchorId="29CEB464" id="Rectangle 4" o:spid="_x0000_s1026" style="width:468pt;height:.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" filled="f">
                <w10:anchorlock/>
              </v:rect>
            </w:pict>
          </mc:Fallback>
        </mc:AlternateContent>
      </w:r>
    </w:p>
    <w:p w14:paraId="2E038A24" w14:textId="77777777" w:rsidR="0058497B" w:rsidRPr="0058497B" w:rsidRDefault="0058497B" w:rsidP="0058497B">
      <w:pPr>
        <w:spacing w:before="100" w:beforeAutospacing="1" w:after="100" w:afterAutospacing="1" w:line="240" w:lineRule="auto"/>
        <w:outlineLvl w:val="1"/>
        <w:rPr>
          <w:rFonts w:ascii="Times New Roman" w:hAnsi="Times New Roman" w:cs="Times New Roman"/>
          <w:b/>
          <w:bCs/>
          <w:kern w:val="0"/>
          <w:sz w:val="36"/>
          <w:szCs w:val="36"/>
          <w14:ligatures w14:val="none"/>
        </w:rPr>
      </w:pPr>
      <w:r w:rsidRPr="0058497B">
        <w:rPr>
          <w:rFonts w:ascii="Times New Roman" w:eastAsia="Times New Roman" w:hAnsi="Times New Roman" w:cs="Times New Roman"/>
          <w:b/>
          <w:bCs/>
          <w:kern w:val="0"/>
          <w:sz w:val="36"/>
          <w:szCs w:val="36"/>
          <w14:ligatures w14:val="none"/>
        </w:rPr>
        <w:t>2. Dating of Latest to Earliest Manuscripts</w:t>
      </w:r>
    </w:p>
    <w:p w14:paraId="58D74CAF" w14:textId="77777777" w:rsidR="0058497B" w:rsidRPr="0058497B" w:rsidRDefault="0058497B" w:rsidP="0058497B">
      <w:pPr>
        <w:spacing w:before="100" w:beforeAutospacing="1" w:after="100" w:afterAutospacing="1" w:line="240" w:lineRule="auto"/>
        <w:rPr>
          <w:rFonts w:ascii="Times New Roman" w:hAnsi="Times New Roman" w:cs="Times New Roman"/>
          <w:kern w:val="0"/>
          <w14:ligatures w14:val="none"/>
        </w:rPr>
      </w:pPr>
    </w:p>
    <w:p w14:paraId="56A5CBF6" w14:textId="77777777" w:rsidR="0058497B" w:rsidRPr="0058497B" w:rsidRDefault="0058497B" w:rsidP="0058497B">
      <w:pPr>
        <w:spacing w:before="100" w:beforeAutospacing="1" w:after="100" w:afterAutospacing="1" w:line="240" w:lineRule="auto"/>
        <w:rPr>
          <w:rFonts w:ascii="Times New Roman" w:hAnsi="Times New Roman" w:cs="Times New Roman"/>
          <w:kern w:val="0"/>
          <w14:ligatures w14:val="none"/>
        </w:rPr>
      </w:pPr>
      <w:r w:rsidRPr="0058497B">
        <w:rPr>
          <w:rFonts w:ascii="Times New Roman" w:hAnsi="Times New Roman" w:cs="Times New Roman"/>
          <w:kern w:val="0"/>
          <w14:ligatures w14:val="none"/>
        </w:rPr>
        <w:t>Scholars have used radiocarbon dating, paleography, and archaeological context to date the scrolls. The manuscripts span from the mid-3rd century BCE to the late 1st century CE, shortly before Qumran was destroyed around 68 CE during the Roman advance.</w:t>
      </w:r>
    </w:p>
    <w:p w14:paraId="318E75E8" w14:textId="77777777" w:rsidR="0058497B" w:rsidRPr="0058497B" w:rsidRDefault="0058497B" w:rsidP="0058497B">
      <w:pPr>
        <w:numPr>
          <w:ilvl w:val="0"/>
          <w:numId w:val="1"/>
        </w:numPr>
        <w:spacing w:before="100" w:beforeAutospacing="1" w:after="100" w:afterAutospacing="1" w:line="240" w:lineRule="auto"/>
        <w:rPr>
          <w:rFonts w:ascii="Times New Roman" w:hAnsi="Times New Roman" w:cs="Times New Roman"/>
          <w:kern w:val="0"/>
          <w14:ligatures w14:val="none"/>
        </w:rPr>
      </w:pPr>
      <w:r w:rsidRPr="0058497B">
        <w:rPr>
          <w:rFonts w:ascii="Times New Roman" w:hAnsi="Times New Roman" w:cs="Times New Roman"/>
          <w:kern w:val="0"/>
          <w14:ligatures w14:val="none"/>
        </w:rPr>
        <w:lastRenderedPageBreak/>
        <w:t>Earliest Texts: Radiocarbon dating places some manuscripts around 250 BCE, such as the Book of Enoch and early biblical commentaries (</w:t>
      </w:r>
      <w:proofErr w:type="spellStart"/>
      <w:r w:rsidRPr="0058497B">
        <w:rPr>
          <w:rFonts w:ascii="Times New Roman" w:hAnsi="Times New Roman" w:cs="Times New Roman"/>
          <w:kern w:val="0"/>
          <w14:ligatures w14:val="none"/>
        </w:rPr>
        <w:t>pesharim</w:t>
      </w:r>
      <w:proofErr w:type="spellEnd"/>
      <w:r w:rsidRPr="0058497B">
        <w:rPr>
          <w:rFonts w:ascii="Times New Roman" w:hAnsi="Times New Roman" w:cs="Times New Roman"/>
          <w:kern w:val="0"/>
          <w14:ligatures w14:val="none"/>
        </w:rPr>
        <w:t>).</w:t>
      </w:r>
    </w:p>
    <w:p w14:paraId="414E2171" w14:textId="77777777" w:rsidR="0058497B" w:rsidRPr="0058497B" w:rsidRDefault="0058497B" w:rsidP="0058497B">
      <w:pPr>
        <w:numPr>
          <w:ilvl w:val="0"/>
          <w:numId w:val="1"/>
        </w:numPr>
        <w:spacing w:before="100" w:beforeAutospacing="1" w:after="100" w:afterAutospacing="1" w:line="240" w:lineRule="auto"/>
        <w:rPr>
          <w:rFonts w:ascii="Times New Roman" w:hAnsi="Times New Roman" w:cs="Times New Roman"/>
          <w:kern w:val="0"/>
          <w14:ligatures w14:val="none"/>
        </w:rPr>
      </w:pPr>
      <w:r w:rsidRPr="0058497B">
        <w:rPr>
          <w:rFonts w:ascii="Times New Roman" w:hAnsi="Times New Roman" w:cs="Times New Roman"/>
          <w:kern w:val="0"/>
          <w14:ligatures w14:val="none"/>
        </w:rPr>
        <w:t>Latest Texts: The most recent writings come from just before the Roman destruction of the site in 68 CE, including later versions of sectarian rules and legal documents.</w:t>
      </w:r>
    </w:p>
    <w:p w14:paraId="6D65D5EC" w14:textId="77777777" w:rsidR="0058497B" w:rsidRPr="0058497B" w:rsidRDefault="0058497B" w:rsidP="0058497B">
      <w:pPr>
        <w:spacing w:before="100" w:beforeAutospacing="1" w:after="100" w:afterAutospacing="1" w:line="240" w:lineRule="auto"/>
        <w:rPr>
          <w:rFonts w:ascii="Times New Roman" w:hAnsi="Times New Roman" w:cs="Times New Roman"/>
          <w:kern w:val="0"/>
          <w14:ligatures w14:val="none"/>
        </w:rPr>
      </w:pPr>
    </w:p>
    <w:p w14:paraId="76CCB1D2" w14:textId="77777777" w:rsidR="0058497B" w:rsidRPr="0058497B" w:rsidRDefault="0058497B" w:rsidP="0058497B">
      <w:pPr>
        <w:spacing w:before="100" w:beforeAutospacing="1" w:after="100" w:afterAutospacing="1" w:line="240" w:lineRule="auto"/>
        <w:rPr>
          <w:rFonts w:ascii="Times New Roman" w:hAnsi="Times New Roman" w:cs="Times New Roman"/>
          <w:kern w:val="0"/>
          <w14:ligatures w14:val="none"/>
        </w:rPr>
      </w:pPr>
      <w:r w:rsidRPr="0058497B">
        <w:rPr>
          <w:rFonts w:ascii="Times New Roman" w:hAnsi="Times New Roman" w:cs="Times New Roman"/>
          <w:kern w:val="0"/>
          <w14:ligatures w14:val="none"/>
        </w:rPr>
        <w:t>The dating also helps distinguish layers of textual evolution and community development. For example, earlier texts reflect a formative sectarian identity, while later compositions show more apocalyptic expectations and responses to Roman occupation.</w:t>
      </w:r>
    </w:p>
    <w:p w14:paraId="25CEC57E" w14:textId="77777777" w:rsidR="0058497B" w:rsidRPr="0058497B" w:rsidRDefault="0058497B" w:rsidP="0058497B">
      <w:pPr>
        <w:spacing w:before="100" w:beforeAutospacing="1" w:after="100" w:afterAutospacing="1" w:line="240" w:lineRule="auto"/>
        <w:rPr>
          <w:rFonts w:ascii="Times New Roman" w:hAnsi="Times New Roman" w:cs="Times New Roman"/>
          <w:kern w:val="0"/>
          <w14:ligatures w14:val="none"/>
        </w:rPr>
      </w:pPr>
    </w:p>
    <w:p w14:paraId="087B4486" w14:textId="77777777" w:rsidR="0058497B" w:rsidRPr="0058497B" w:rsidRDefault="0058497B" w:rsidP="0058497B">
      <w:pPr>
        <w:spacing w:before="100" w:beforeAutospacing="1" w:after="100" w:afterAutospacing="1" w:line="240" w:lineRule="auto"/>
        <w:rPr>
          <w:rFonts w:ascii="Times New Roman" w:hAnsi="Times New Roman" w:cs="Times New Roman"/>
          <w:kern w:val="0"/>
          <w14:ligatures w14:val="none"/>
        </w:rPr>
      </w:pPr>
      <w:r w:rsidRPr="0058497B">
        <w:rPr>
          <w:rFonts w:ascii="Times New Roman" w:hAnsi="Times New Roman" w:cs="Times New Roman"/>
          <w:kern w:val="0"/>
          <w14:ligatures w14:val="none"/>
        </w:rPr>
        <w:t>The scrolls are written in three languages:</w:t>
      </w:r>
    </w:p>
    <w:p w14:paraId="7C0082AC" w14:textId="77777777" w:rsidR="0058497B" w:rsidRPr="0058497B" w:rsidRDefault="0058497B" w:rsidP="0058497B">
      <w:pPr>
        <w:numPr>
          <w:ilvl w:val="0"/>
          <w:numId w:val="2"/>
        </w:numPr>
        <w:spacing w:before="100" w:beforeAutospacing="1" w:after="100" w:afterAutospacing="1" w:line="240" w:lineRule="auto"/>
        <w:rPr>
          <w:rFonts w:ascii="Times New Roman" w:hAnsi="Times New Roman" w:cs="Times New Roman"/>
          <w:kern w:val="0"/>
          <w14:ligatures w14:val="none"/>
        </w:rPr>
      </w:pPr>
      <w:r w:rsidRPr="0058497B">
        <w:rPr>
          <w:rFonts w:ascii="Times New Roman" w:hAnsi="Times New Roman" w:cs="Times New Roman"/>
          <w:kern w:val="0"/>
          <w14:ligatures w14:val="none"/>
        </w:rPr>
        <w:t>Hebrew: Over 75% of the scrolls are in Hebrew, including biblical texts and sectarian rules.</w:t>
      </w:r>
    </w:p>
    <w:p w14:paraId="3AA1F0F4" w14:textId="77777777" w:rsidR="0058497B" w:rsidRPr="0058497B" w:rsidRDefault="0058497B" w:rsidP="0058497B">
      <w:pPr>
        <w:numPr>
          <w:ilvl w:val="0"/>
          <w:numId w:val="2"/>
        </w:numPr>
        <w:spacing w:before="100" w:beforeAutospacing="1" w:after="100" w:afterAutospacing="1" w:line="240" w:lineRule="auto"/>
        <w:rPr>
          <w:rFonts w:ascii="Times New Roman" w:hAnsi="Times New Roman" w:cs="Times New Roman"/>
          <w:kern w:val="0"/>
          <w14:ligatures w14:val="none"/>
        </w:rPr>
      </w:pPr>
      <w:r w:rsidRPr="0058497B">
        <w:rPr>
          <w:rFonts w:ascii="Times New Roman" w:hAnsi="Times New Roman" w:cs="Times New Roman"/>
          <w:kern w:val="0"/>
          <w14:ligatures w14:val="none"/>
        </w:rPr>
        <w:t>Aramaic: Used for some biblical paraphrases and apocalyptic texts (e.g., Book of Giants).</w:t>
      </w:r>
    </w:p>
    <w:p w14:paraId="71A58CD7" w14:textId="77777777" w:rsidR="0058497B" w:rsidRPr="0058497B" w:rsidRDefault="0058497B" w:rsidP="0058497B">
      <w:pPr>
        <w:numPr>
          <w:ilvl w:val="0"/>
          <w:numId w:val="2"/>
        </w:numPr>
        <w:spacing w:before="100" w:beforeAutospacing="1" w:after="100" w:afterAutospacing="1" w:line="240" w:lineRule="auto"/>
        <w:rPr>
          <w:rFonts w:ascii="Times New Roman" w:hAnsi="Times New Roman" w:cs="Times New Roman"/>
          <w:kern w:val="0"/>
          <w14:ligatures w14:val="none"/>
        </w:rPr>
      </w:pPr>
      <w:r w:rsidRPr="0058497B">
        <w:rPr>
          <w:rFonts w:ascii="Times New Roman" w:hAnsi="Times New Roman" w:cs="Times New Roman"/>
          <w:kern w:val="0"/>
          <w14:ligatures w14:val="none"/>
        </w:rPr>
        <w:t>Greek: Found in a few scrolls, such as portions of the Septuagint and documents reflecting Hellenistic influence.</w:t>
      </w:r>
    </w:p>
    <w:p w14:paraId="771909E4" w14:textId="77777777" w:rsidR="0058497B" w:rsidRPr="0058497B" w:rsidRDefault="0058497B" w:rsidP="0058497B">
      <w:pPr>
        <w:spacing w:before="100" w:beforeAutospacing="1" w:after="100" w:afterAutospacing="1" w:line="240" w:lineRule="auto"/>
        <w:rPr>
          <w:rFonts w:ascii="Times New Roman" w:hAnsi="Times New Roman" w:cs="Times New Roman"/>
          <w:kern w:val="0"/>
          <w14:ligatures w14:val="none"/>
        </w:rPr>
      </w:pPr>
    </w:p>
    <w:p w14:paraId="169D5E5A" w14:textId="77777777" w:rsidR="0058497B" w:rsidRPr="0058497B" w:rsidRDefault="0058497B" w:rsidP="0058497B">
      <w:pPr>
        <w:spacing w:before="100" w:beforeAutospacing="1" w:after="100" w:afterAutospacing="1" w:line="240" w:lineRule="auto"/>
        <w:rPr>
          <w:rFonts w:ascii="Times New Roman" w:hAnsi="Times New Roman" w:cs="Times New Roman"/>
          <w:kern w:val="0"/>
          <w14:ligatures w14:val="none"/>
        </w:rPr>
      </w:pPr>
      <w:r w:rsidRPr="0058497B">
        <w:rPr>
          <w:rFonts w:ascii="Times New Roman" w:hAnsi="Times New Roman" w:cs="Times New Roman"/>
          <w:kern w:val="0"/>
          <w14:ligatures w14:val="none"/>
        </w:rPr>
        <w:t>The writing materials also vary: most are written on parchment, while some appear on papyrus, and one notable artifact—the Copper Scroll—is etched into thin sheets of copper, listing locations of buried treasures.</w:t>
      </w:r>
    </w:p>
    <w:p w14:paraId="2E39532D" w14:textId="77777777" w:rsidR="0058497B" w:rsidRPr="0058497B" w:rsidRDefault="0058497B" w:rsidP="0058497B">
      <w:pPr>
        <w:spacing w:after="0" w:line="240" w:lineRule="auto"/>
        <w:rPr>
          <w:rFonts w:ascii="Times New Roman" w:eastAsia="Times New Roman" w:hAnsi="Times New Roman" w:cs="Times New Roman"/>
          <w:kern w:val="0"/>
          <w14:ligatures w14:val="none"/>
        </w:rPr>
      </w:pPr>
      <w:r w:rsidRPr="0058497B">
        <w:rPr>
          <w:rFonts w:ascii="Times New Roman" w:eastAsia="Times New Roman" w:hAnsi="Times New Roman" w:cs="Times New Roman"/>
          <w:noProof/>
          <w:kern w:val="0"/>
          <w14:ligatures w14:val="none"/>
        </w:rPr>
        <mc:AlternateContent>
          <mc:Choice Requires="wps">
            <w:drawing>
              <wp:inline distT="0" distB="0" distL="0" distR="0" wp14:anchorId="3F29BF01" wp14:editId="3F9162D4">
                <wp:extent cx="5943600" cy="1270"/>
                <wp:effectExtent l="0" t="31750" r="0" b="36830"/>
                <wp:docPr id="810497492"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1614725" cy="1270"/>
                        </a:xfrm>
                        <a:prstGeom prst="rect">
                          <a:avLst/>
                        </a:prstGeom>
                        <a:noFill/>
                        <a:ln w="9525">
                          <a:gradFill rotWithShape="0">
                            <a:gsLst>
                              <a:gs pos="0">
                                <a:srgbClr val="A0A0A0"/>
                              </a:gs>
                              <a:gs pos="100000">
                                <a:srgbClr val="E3E3E3"/>
                              </a:gs>
                            </a:gsLst>
                            <a:lin ang="5400000"/>
                          </a:gradFill>
                          <a:miter lim="800000"/>
                          <a:headEnd/>
                          <a:tailEnd/>
                        </a:ln>
                      </wps:spPr>
                      <wps:bodyPr rot="0" vert="horz" wrap="square" lIns="91440" tIns="45720" rIns="91440" bIns="45720" anchor="t" anchorCtr="0" upright="1">
                        <a:noAutofit/>
                      </wps:bodyPr>
                    </wps:wsp>
                  </a:graphicData>
                </a:graphic>
              </wp:inline>
            </w:drawing>
          </mc:Choice>
          <mc:Fallback>
            <w:pict>
              <v:rect w14:anchorId="3C1F8303" id="Rectangle 3" o:spid="_x0000_s1026" style="width:468pt;height:.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" filled="f">
                <w10:anchorlock/>
              </v:rect>
            </w:pict>
          </mc:Fallback>
        </mc:AlternateContent>
      </w:r>
    </w:p>
    <w:p w14:paraId="6838ACD4" w14:textId="77777777" w:rsidR="0058497B" w:rsidRPr="0058497B" w:rsidRDefault="0058497B" w:rsidP="0058497B">
      <w:pPr>
        <w:spacing w:before="100" w:beforeAutospacing="1" w:after="100" w:afterAutospacing="1" w:line="240" w:lineRule="auto"/>
        <w:outlineLvl w:val="1"/>
        <w:rPr>
          <w:rFonts w:ascii="Times New Roman" w:hAnsi="Times New Roman" w:cs="Times New Roman"/>
          <w:b/>
          <w:bCs/>
          <w:kern w:val="0"/>
          <w:sz w:val="36"/>
          <w:szCs w:val="36"/>
          <w14:ligatures w14:val="none"/>
        </w:rPr>
      </w:pPr>
      <w:r w:rsidRPr="0058497B">
        <w:rPr>
          <w:rFonts w:ascii="Times New Roman" w:eastAsia="Times New Roman" w:hAnsi="Times New Roman" w:cs="Times New Roman"/>
          <w:b/>
          <w:bCs/>
          <w:kern w:val="0"/>
          <w:sz w:val="36"/>
          <w:szCs w:val="36"/>
          <w14:ligatures w14:val="none"/>
        </w:rPr>
        <w:t>3. Importance and Impact on Biblical Scholarship</w:t>
      </w:r>
    </w:p>
    <w:p w14:paraId="614B25CB" w14:textId="77777777" w:rsidR="0058497B" w:rsidRPr="0058497B" w:rsidRDefault="0058497B" w:rsidP="0058497B">
      <w:pPr>
        <w:spacing w:before="100" w:beforeAutospacing="1" w:after="100" w:afterAutospacing="1" w:line="240" w:lineRule="auto"/>
        <w:rPr>
          <w:rFonts w:ascii="Times New Roman" w:hAnsi="Times New Roman" w:cs="Times New Roman"/>
          <w:kern w:val="0"/>
          <w14:ligatures w14:val="none"/>
        </w:rPr>
      </w:pPr>
    </w:p>
    <w:p w14:paraId="1AF5C25A" w14:textId="77777777" w:rsidR="0058497B" w:rsidRPr="0058497B" w:rsidRDefault="0058497B" w:rsidP="0058497B">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58497B">
        <w:rPr>
          <w:rFonts w:ascii="Times New Roman" w:eastAsia="Times New Roman" w:hAnsi="Times New Roman" w:cs="Times New Roman"/>
          <w:b/>
          <w:bCs/>
          <w:kern w:val="0"/>
          <w:sz w:val="27"/>
          <w:szCs w:val="27"/>
          <w14:ligatures w14:val="none"/>
        </w:rPr>
        <w:t>A. Oldest Biblical Manuscripts</w:t>
      </w:r>
    </w:p>
    <w:p w14:paraId="612DB5DC" w14:textId="77777777" w:rsidR="0058497B" w:rsidRPr="0058497B" w:rsidRDefault="0058497B" w:rsidP="0058497B">
      <w:pPr>
        <w:spacing w:before="100" w:beforeAutospacing="1" w:after="100" w:afterAutospacing="1" w:line="240" w:lineRule="auto"/>
        <w:rPr>
          <w:rFonts w:ascii="Times New Roman" w:hAnsi="Times New Roman" w:cs="Times New Roman"/>
          <w:kern w:val="0"/>
          <w14:ligatures w14:val="none"/>
        </w:rPr>
      </w:pPr>
    </w:p>
    <w:p w14:paraId="31A6977C" w14:textId="77777777" w:rsidR="0058497B" w:rsidRPr="0058497B" w:rsidRDefault="0058497B" w:rsidP="0058497B">
      <w:pPr>
        <w:spacing w:before="100" w:beforeAutospacing="1" w:after="100" w:afterAutospacing="1" w:line="240" w:lineRule="auto"/>
        <w:rPr>
          <w:rFonts w:ascii="Times New Roman" w:hAnsi="Times New Roman" w:cs="Times New Roman"/>
          <w:kern w:val="0"/>
          <w14:ligatures w14:val="none"/>
        </w:rPr>
      </w:pPr>
      <w:r w:rsidRPr="0058497B">
        <w:rPr>
          <w:rFonts w:ascii="Times New Roman" w:hAnsi="Times New Roman" w:cs="Times New Roman"/>
          <w:kern w:val="0"/>
          <w14:ligatures w14:val="none"/>
        </w:rPr>
        <w:t>One of the scrolls’ most significant contributions is that they represent the oldest surviving copies of biblical texts, predating previously known manuscripts by over 1,000 years. For instance, the Great Isaiah Scroll (</w:t>
      </w:r>
      <w:proofErr w:type="spellStart"/>
      <w:r w:rsidRPr="0058497B">
        <w:rPr>
          <w:rFonts w:ascii="Times New Roman" w:hAnsi="Times New Roman" w:cs="Times New Roman"/>
          <w:kern w:val="0"/>
          <w14:ligatures w14:val="none"/>
        </w:rPr>
        <w:t>1QIsaᵃ</w:t>
      </w:r>
      <w:proofErr w:type="spellEnd"/>
      <w:r w:rsidRPr="0058497B">
        <w:rPr>
          <w:rFonts w:ascii="Times New Roman" w:hAnsi="Times New Roman" w:cs="Times New Roman"/>
          <w:kern w:val="0"/>
          <w14:ligatures w14:val="none"/>
        </w:rPr>
        <w:t xml:space="preserve">) is a complete version of the Book of Isaiah, dating from the 2nd century BCE, compared to the 10th-century </w:t>
      </w:r>
      <w:proofErr w:type="spellStart"/>
      <w:r w:rsidRPr="0058497B">
        <w:rPr>
          <w:rFonts w:ascii="Times New Roman" w:hAnsi="Times New Roman" w:cs="Times New Roman"/>
          <w:kern w:val="0"/>
          <w14:ligatures w14:val="none"/>
        </w:rPr>
        <w:t>Masoretic</w:t>
      </w:r>
      <w:proofErr w:type="spellEnd"/>
      <w:r w:rsidRPr="0058497B">
        <w:rPr>
          <w:rFonts w:ascii="Times New Roman" w:hAnsi="Times New Roman" w:cs="Times New Roman"/>
          <w:kern w:val="0"/>
          <w14:ligatures w14:val="none"/>
        </w:rPr>
        <w:t xml:space="preserve"> Text tradition. This has allowed scholars to:</w:t>
      </w:r>
    </w:p>
    <w:p w14:paraId="5F0E2C5D" w14:textId="77777777" w:rsidR="0058497B" w:rsidRPr="0058497B" w:rsidRDefault="0058497B" w:rsidP="0058497B">
      <w:pPr>
        <w:numPr>
          <w:ilvl w:val="0"/>
          <w:numId w:val="3"/>
        </w:numPr>
        <w:spacing w:before="100" w:beforeAutospacing="1" w:after="100" w:afterAutospacing="1" w:line="240" w:lineRule="auto"/>
        <w:rPr>
          <w:rFonts w:ascii="Times New Roman" w:hAnsi="Times New Roman" w:cs="Times New Roman"/>
          <w:kern w:val="0"/>
          <w14:ligatures w14:val="none"/>
        </w:rPr>
      </w:pPr>
      <w:r w:rsidRPr="0058497B">
        <w:rPr>
          <w:rFonts w:ascii="Times New Roman" w:hAnsi="Times New Roman" w:cs="Times New Roman"/>
          <w:kern w:val="0"/>
          <w14:ligatures w14:val="none"/>
        </w:rPr>
        <w:t>Confirm the stability of many biblical texts over time.</w:t>
      </w:r>
    </w:p>
    <w:p w14:paraId="3DC8CE17" w14:textId="77777777" w:rsidR="0058497B" w:rsidRPr="0058497B" w:rsidRDefault="0058497B" w:rsidP="0058497B">
      <w:pPr>
        <w:numPr>
          <w:ilvl w:val="0"/>
          <w:numId w:val="3"/>
        </w:numPr>
        <w:spacing w:before="100" w:beforeAutospacing="1" w:after="100" w:afterAutospacing="1" w:line="240" w:lineRule="auto"/>
        <w:rPr>
          <w:rFonts w:ascii="Times New Roman" w:hAnsi="Times New Roman" w:cs="Times New Roman"/>
          <w:kern w:val="0"/>
          <w14:ligatures w14:val="none"/>
        </w:rPr>
      </w:pPr>
      <w:r w:rsidRPr="0058497B">
        <w:rPr>
          <w:rFonts w:ascii="Times New Roman" w:hAnsi="Times New Roman" w:cs="Times New Roman"/>
          <w:kern w:val="0"/>
          <w14:ligatures w14:val="none"/>
        </w:rPr>
        <w:t>Identify textual variants and alternate readings (especially in Jeremiah, Psalms, and Samuel).</w:t>
      </w:r>
    </w:p>
    <w:p w14:paraId="5B972E2F" w14:textId="77777777" w:rsidR="0058497B" w:rsidRPr="0058497B" w:rsidRDefault="0058497B" w:rsidP="0058497B">
      <w:pPr>
        <w:numPr>
          <w:ilvl w:val="0"/>
          <w:numId w:val="3"/>
        </w:numPr>
        <w:spacing w:before="100" w:beforeAutospacing="1" w:after="100" w:afterAutospacing="1" w:line="240" w:lineRule="auto"/>
        <w:rPr>
          <w:rFonts w:ascii="Times New Roman" w:hAnsi="Times New Roman" w:cs="Times New Roman"/>
          <w:kern w:val="0"/>
          <w14:ligatures w14:val="none"/>
        </w:rPr>
      </w:pPr>
      <w:r w:rsidRPr="0058497B">
        <w:rPr>
          <w:rFonts w:ascii="Times New Roman" w:hAnsi="Times New Roman" w:cs="Times New Roman"/>
          <w:kern w:val="0"/>
          <w14:ligatures w14:val="none"/>
        </w:rPr>
        <w:lastRenderedPageBreak/>
        <w:t xml:space="preserve">Study </w:t>
      </w:r>
      <w:proofErr w:type="spellStart"/>
      <w:r w:rsidRPr="0058497B">
        <w:rPr>
          <w:rFonts w:ascii="Times New Roman" w:hAnsi="Times New Roman" w:cs="Times New Roman"/>
          <w:kern w:val="0"/>
          <w14:ligatures w14:val="none"/>
        </w:rPr>
        <w:t>proto-Masoretic</w:t>
      </w:r>
      <w:proofErr w:type="spellEnd"/>
      <w:r w:rsidRPr="0058497B">
        <w:rPr>
          <w:rFonts w:ascii="Times New Roman" w:hAnsi="Times New Roman" w:cs="Times New Roman"/>
          <w:kern w:val="0"/>
          <w14:ligatures w14:val="none"/>
        </w:rPr>
        <w:t>, Samaritan, and Septuagint alignments coexisting in Second Temple Judaism.</w:t>
      </w:r>
    </w:p>
    <w:p w14:paraId="51D39525" w14:textId="77777777" w:rsidR="0058497B" w:rsidRPr="0058497B" w:rsidRDefault="0058497B" w:rsidP="0058497B">
      <w:pPr>
        <w:spacing w:before="100" w:beforeAutospacing="1" w:after="100" w:afterAutospacing="1" w:line="240" w:lineRule="auto"/>
        <w:rPr>
          <w:rFonts w:ascii="Times New Roman" w:hAnsi="Times New Roman" w:cs="Times New Roman"/>
          <w:kern w:val="0"/>
          <w14:ligatures w14:val="none"/>
        </w:rPr>
      </w:pPr>
    </w:p>
    <w:p w14:paraId="3D0D7EA3" w14:textId="77777777" w:rsidR="0058497B" w:rsidRPr="0058497B" w:rsidRDefault="0058497B" w:rsidP="0058497B">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58497B">
        <w:rPr>
          <w:rFonts w:ascii="Times New Roman" w:eastAsia="Times New Roman" w:hAnsi="Times New Roman" w:cs="Times New Roman"/>
          <w:b/>
          <w:bCs/>
          <w:kern w:val="0"/>
          <w:sz w:val="27"/>
          <w:szCs w:val="27"/>
          <w14:ligatures w14:val="none"/>
        </w:rPr>
        <w:t>B. Insights into Second Temple Judaism</w:t>
      </w:r>
    </w:p>
    <w:p w14:paraId="49C01705" w14:textId="77777777" w:rsidR="0058497B" w:rsidRPr="0058497B" w:rsidRDefault="0058497B" w:rsidP="0058497B">
      <w:pPr>
        <w:spacing w:before="100" w:beforeAutospacing="1" w:after="100" w:afterAutospacing="1" w:line="240" w:lineRule="auto"/>
        <w:rPr>
          <w:rFonts w:ascii="Times New Roman" w:hAnsi="Times New Roman" w:cs="Times New Roman"/>
          <w:kern w:val="0"/>
          <w14:ligatures w14:val="none"/>
        </w:rPr>
      </w:pPr>
    </w:p>
    <w:p w14:paraId="693FF28E" w14:textId="77777777" w:rsidR="0058497B" w:rsidRPr="0058497B" w:rsidRDefault="0058497B" w:rsidP="0058497B">
      <w:pPr>
        <w:spacing w:before="100" w:beforeAutospacing="1" w:after="100" w:afterAutospacing="1" w:line="240" w:lineRule="auto"/>
        <w:rPr>
          <w:rFonts w:ascii="Times New Roman" w:hAnsi="Times New Roman" w:cs="Times New Roman"/>
          <w:kern w:val="0"/>
          <w14:ligatures w14:val="none"/>
        </w:rPr>
      </w:pPr>
      <w:r w:rsidRPr="0058497B">
        <w:rPr>
          <w:rFonts w:ascii="Times New Roman" w:hAnsi="Times New Roman" w:cs="Times New Roman"/>
          <w:kern w:val="0"/>
          <w14:ligatures w14:val="none"/>
        </w:rPr>
        <w:t>The Dead Sea Scrolls illuminate the diversity of Jewish religious thought and practice before the rise of Rabbinic Judaism and Christianity. The scrolls include:</w:t>
      </w:r>
    </w:p>
    <w:p w14:paraId="55492653" w14:textId="77777777" w:rsidR="0058497B" w:rsidRPr="0058497B" w:rsidRDefault="0058497B" w:rsidP="0058497B">
      <w:pPr>
        <w:numPr>
          <w:ilvl w:val="0"/>
          <w:numId w:val="4"/>
        </w:numPr>
        <w:spacing w:before="100" w:beforeAutospacing="1" w:after="100" w:afterAutospacing="1" w:line="240" w:lineRule="auto"/>
        <w:rPr>
          <w:rFonts w:ascii="Times New Roman" w:hAnsi="Times New Roman" w:cs="Times New Roman"/>
          <w:kern w:val="0"/>
          <w14:ligatures w14:val="none"/>
        </w:rPr>
      </w:pPr>
      <w:r w:rsidRPr="0058497B">
        <w:rPr>
          <w:rFonts w:ascii="Times New Roman" w:hAnsi="Times New Roman" w:cs="Times New Roman"/>
          <w:kern w:val="0"/>
          <w14:ligatures w14:val="none"/>
        </w:rPr>
        <w:t>Biblical texts: Nearly every book of the Hebrew Bible (except Esther), some in multiple versions.</w:t>
      </w:r>
    </w:p>
    <w:p w14:paraId="725017D7" w14:textId="77777777" w:rsidR="0058497B" w:rsidRPr="0058497B" w:rsidRDefault="0058497B" w:rsidP="0058497B">
      <w:pPr>
        <w:numPr>
          <w:ilvl w:val="0"/>
          <w:numId w:val="4"/>
        </w:numPr>
        <w:spacing w:before="100" w:beforeAutospacing="1" w:after="100" w:afterAutospacing="1" w:line="240" w:lineRule="auto"/>
        <w:rPr>
          <w:rFonts w:ascii="Times New Roman" w:hAnsi="Times New Roman" w:cs="Times New Roman"/>
          <w:kern w:val="0"/>
          <w14:ligatures w14:val="none"/>
        </w:rPr>
      </w:pPr>
      <w:r w:rsidRPr="0058497B">
        <w:rPr>
          <w:rFonts w:ascii="Times New Roman" w:hAnsi="Times New Roman" w:cs="Times New Roman"/>
          <w:kern w:val="0"/>
          <w14:ligatures w14:val="none"/>
        </w:rPr>
        <w:t xml:space="preserve">Rewritten scripture: Texts like Jubilees and Genesis </w:t>
      </w:r>
      <w:proofErr w:type="spellStart"/>
      <w:r w:rsidRPr="0058497B">
        <w:rPr>
          <w:rFonts w:ascii="Times New Roman" w:hAnsi="Times New Roman" w:cs="Times New Roman"/>
          <w:kern w:val="0"/>
          <w14:ligatures w14:val="none"/>
        </w:rPr>
        <w:t>Apocryphon</w:t>
      </w:r>
      <w:proofErr w:type="spellEnd"/>
      <w:r w:rsidRPr="0058497B">
        <w:rPr>
          <w:rFonts w:ascii="Times New Roman" w:hAnsi="Times New Roman" w:cs="Times New Roman"/>
          <w:kern w:val="0"/>
          <w14:ligatures w14:val="none"/>
        </w:rPr>
        <w:t xml:space="preserve"> retell biblical stories with interpretive flourishes.</w:t>
      </w:r>
    </w:p>
    <w:p w14:paraId="05AF7D35" w14:textId="77777777" w:rsidR="0058497B" w:rsidRPr="0058497B" w:rsidRDefault="0058497B" w:rsidP="0058497B">
      <w:pPr>
        <w:numPr>
          <w:ilvl w:val="0"/>
          <w:numId w:val="4"/>
        </w:numPr>
        <w:spacing w:before="100" w:beforeAutospacing="1" w:after="100" w:afterAutospacing="1" w:line="240" w:lineRule="auto"/>
        <w:rPr>
          <w:rFonts w:ascii="Times New Roman" w:hAnsi="Times New Roman" w:cs="Times New Roman"/>
          <w:kern w:val="0"/>
          <w14:ligatures w14:val="none"/>
        </w:rPr>
      </w:pPr>
      <w:proofErr w:type="spellStart"/>
      <w:r w:rsidRPr="0058497B">
        <w:rPr>
          <w:rFonts w:ascii="Times New Roman" w:hAnsi="Times New Roman" w:cs="Times New Roman"/>
          <w:kern w:val="0"/>
          <w14:ligatures w14:val="none"/>
        </w:rPr>
        <w:t>Pesharim</w:t>
      </w:r>
      <w:proofErr w:type="spellEnd"/>
      <w:r w:rsidRPr="0058497B">
        <w:rPr>
          <w:rFonts w:ascii="Times New Roman" w:hAnsi="Times New Roman" w:cs="Times New Roman"/>
          <w:kern w:val="0"/>
          <w14:ligatures w14:val="none"/>
        </w:rPr>
        <w:t xml:space="preserve"> (commentaries): Sectarian interpretations linking scripture to contemporary events.</w:t>
      </w:r>
    </w:p>
    <w:p w14:paraId="38631586" w14:textId="77777777" w:rsidR="0058497B" w:rsidRPr="0058497B" w:rsidRDefault="0058497B" w:rsidP="0058497B">
      <w:pPr>
        <w:numPr>
          <w:ilvl w:val="0"/>
          <w:numId w:val="4"/>
        </w:numPr>
        <w:spacing w:before="100" w:beforeAutospacing="1" w:after="100" w:afterAutospacing="1" w:line="240" w:lineRule="auto"/>
        <w:rPr>
          <w:rFonts w:ascii="Times New Roman" w:hAnsi="Times New Roman" w:cs="Times New Roman"/>
          <w:kern w:val="0"/>
          <w14:ligatures w14:val="none"/>
        </w:rPr>
      </w:pPr>
      <w:proofErr w:type="spellStart"/>
      <w:r w:rsidRPr="0058497B">
        <w:rPr>
          <w:rFonts w:ascii="Times New Roman" w:hAnsi="Times New Roman" w:cs="Times New Roman"/>
          <w:kern w:val="0"/>
          <w14:ligatures w14:val="none"/>
        </w:rPr>
        <w:t>Halakhic</w:t>
      </w:r>
      <w:proofErr w:type="spellEnd"/>
      <w:r w:rsidRPr="0058497B">
        <w:rPr>
          <w:rFonts w:ascii="Times New Roman" w:hAnsi="Times New Roman" w:cs="Times New Roman"/>
          <w:kern w:val="0"/>
          <w14:ligatures w14:val="none"/>
        </w:rPr>
        <w:t xml:space="preserve"> writings: Legal interpretations that often contradict Pharisaic norms.</w:t>
      </w:r>
    </w:p>
    <w:p w14:paraId="4C3D8328" w14:textId="77777777" w:rsidR="0058497B" w:rsidRPr="0058497B" w:rsidRDefault="0058497B" w:rsidP="0058497B">
      <w:pPr>
        <w:numPr>
          <w:ilvl w:val="0"/>
          <w:numId w:val="4"/>
        </w:numPr>
        <w:spacing w:before="100" w:beforeAutospacing="1" w:after="100" w:afterAutospacing="1" w:line="240" w:lineRule="auto"/>
        <w:rPr>
          <w:rFonts w:ascii="Times New Roman" w:hAnsi="Times New Roman" w:cs="Times New Roman"/>
          <w:kern w:val="0"/>
          <w14:ligatures w14:val="none"/>
        </w:rPr>
      </w:pPr>
      <w:r w:rsidRPr="0058497B">
        <w:rPr>
          <w:rFonts w:ascii="Times New Roman" w:hAnsi="Times New Roman" w:cs="Times New Roman"/>
          <w:kern w:val="0"/>
          <w14:ligatures w14:val="none"/>
        </w:rPr>
        <w:t>Liturgical and hymnal texts: Such as the Thanksgiving Hymns (</w:t>
      </w:r>
      <w:proofErr w:type="spellStart"/>
      <w:r w:rsidRPr="0058497B">
        <w:rPr>
          <w:rFonts w:ascii="Times New Roman" w:hAnsi="Times New Roman" w:cs="Times New Roman"/>
          <w:kern w:val="0"/>
          <w14:ligatures w14:val="none"/>
        </w:rPr>
        <w:t>Hodayot</w:t>
      </w:r>
      <w:proofErr w:type="spellEnd"/>
      <w:r w:rsidRPr="0058497B">
        <w:rPr>
          <w:rFonts w:ascii="Times New Roman" w:hAnsi="Times New Roman" w:cs="Times New Roman"/>
          <w:kern w:val="0"/>
          <w14:ligatures w14:val="none"/>
        </w:rPr>
        <w:t>), revealing a rich inner spirituality and theology.</w:t>
      </w:r>
    </w:p>
    <w:p w14:paraId="6EDD6853" w14:textId="77777777" w:rsidR="0058497B" w:rsidRPr="0058497B" w:rsidRDefault="0058497B" w:rsidP="0058497B">
      <w:pPr>
        <w:spacing w:before="100" w:beforeAutospacing="1" w:after="100" w:afterAutospacing="1" w:line="240" w:lineRule="auto"/>
        <w:rPr>
          <w:rFonts w:ascii="Times New Roman" w:hAnsi="Times New Roman" w:cs="Times New Roman"/>
          <w:kern w:val="0"/>
          <w14:ligatures w14:val="none"/>
        </w:rPr>
      </w:pPr>
    </w:p>
    <w:p w14:paraId="3EF82D57" w14:textId="77777777" w:rsidR="0058497B" w:rsidRPr="0058497B" w:rsidRDefault="0058497B" w:rsidP="0058497B">
      <w:pPr>
        <w:spacing w:before="100" w:beforeAutospacing="1" w:after="100" w:afterAutospacing="1" w:line="240" w:lineRule="auto"/>
        <w:rPr>
          <w:rFonts w:ascii="Times New Roman" w:hAnsi="Times New Roman" w:cs="Times New Roman"/>
          <w:kern w:val="0"/>
          <w14:ligatures w14:val="none"/>
        </w:rPr>
      </w:pPr>
      <w:r w:rsidRPr="0058497B">
        <w:rPr>
          <w:rFonts w:ascii="Times New Roman" w:hAnsi="Times New Roman" w:cs="Times New Roman"/>
          <w:kern w:val="0"/>
          <w14:ligatures w14:val="none"/>
        </w:rPr>
        <w:t>This diversity indicates that scriptural canonization was not yet finalized. The Qumran community held certain books—like Enoch, Jubilees, and Temple Scroll—in high regard, suggesting a broader scriptural landscape.</w:t>
      </w:r>
    </w:p>
    <w:p w14:paraId="51F03FBE" w14:textId="77777777" w:rsidR="0058497B" w:rsidRPr="0058497B" w:rsidRDefault="0058497B" w:rsidP="0058497B">
      <w:pPr>
        <w:spacing w:before="100" w:beforeAutospacing="1" w:after="100" w:afterAutospacing="1" w:line="240" w:lineRule="auto"/>
        <w:rPr>
          <w:rFonts w:ascii="Times New Roman" w:hAnsi="Times New Roman" w:cs="Times New Roman"/>
          <w:kern w:val="0"/>
          <w14:ligatures w14:val="none"/>
        </w:rPr>
      </w:pPr>
    </w:p>
    <w:p w14:paraId="08CA2D66" w14:textId="77777777" w:rsidR="0058497B" w:rsidRPr="0058497B" w:rsidRDefault="0058497B" w:rsidP="0058497B">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58497B">
        <w:rPr>
          <w:rFonts w:ascii="Times New Roman" w:eastAsia="Times New Roman" w:hAnsi="Times New Roman" w:cs="Times New Roman"/>
          <w:b/>
          <w:bCs/>
          <w:kern w:val="0"/>
          <w:sz w:val="27"/>
          <w:szCs w:val="27"/>
          <w14:ligatures w14:val="none"/>
        </w:rPr>
        <w:t xml:space="preserve">C. Understanding Sectarianism and </w:t>
      </w:r>
      <w:proofErr w:type="spellStart"/>
      <w:r w:rsidRPr="0058497B">
        <w:rPr>
          <w:rFonts w:ascii="Times New Roman" w:eastAsia="Times New Roman" w:hAnsi="Times New Roman" w:cs="Times New Roman"/>
          <w:b/>
          <w:bCs/>
          <w:kern w:val="0"/>
          <w:sz w:val="27"/>
          <w:szCs w:val="27"/>
          <w14:ligatures w14:val="none"/>
        </w:rPr>
        <w:t>Apocalypticism</w:t>
      </w:r>
      <w:proofErr w:type="spellEnd"/>
    </w:p>
    <w:p w14:paraId="4F3C5F92" w14:textId="77777777" w:rsidR="0058497B" w:rsidRPr="0058497B" w:rsidRDefault="0058497B" w:rsidP="0058497B">
      <w:pPr>
        <w:spacing w:before="100" w:beforeAutospacing="1" w:after="100" w:afterAutospacing="1" w:line="240" w:lineRule="auto"/>
        <w:rPr>
          <w:rFonts w:ascii="Times New Roman" w:hAnsi="Times New Roman" w:cs="Times New Roman"/>
          <w:kern w:val="0"/>
          <w14:ligatures w14:val="none"/>
        </w:rPr>
      </w:pPr>
    </w:p>
    <w:p w14:paraId="5A2B42BF" w14:textId="77777777" w:rsidR="0058497B" w:rsidRPr="0058497B" w:rsidRDefault="0058497B" w:rsidP="0058497B">
      <w:pPr>
        <w:spacing w:before="100" w:beforeAutospacing="1" w:after="100" w:afterAutospacing="1" w:line="240" w:lineRule="auto"/>
        <w:rPr>
          <w:rFonts w:ascii="Times New Roman" w:hAnsi="Times New Roman" w:cs="Times New Roman"/>
          <w:kern w:val="0"/>
          <w14:ligatures w14:val="none"/>
        </w:rPr>
      </w:pPr>
      <w:r w:rsidRPr="0058497B">
        <w:rPr>
          <w:rFonts w:ascii="Times New Roman" w:hAnsi="Times New Roman" w:cs="Times New Roman"/>
          <w:kern w:val="0"/>
          <w14:ligatures w14:val="none"/>
        </w:rPr>
        <w:t>Texts such as the Community Rule (</w:t>
      </w:r>
      <w:proofErr w:type="spellStart"/>
      <w:r w:rsidRPr="0058497B">
        <w:rPr>
          <w:rFonts w:ascii="Times New Roman" w:hAnsi="Times New Roman" w:cs="Times New Roman"/>
          <w:kern w:val="0"/>
          <w14:ligatures w14:val="none"/>
        </w:rPr>
        <w:t>Serekh</w:t>
      </w:r>
      <w:proofErr w:type="spellEnd"/>
      <w:r w:rsidRPr="0058497B">
        <w:rPr>
          <w:rFonts w:ascii="Times New Roman" w:hAnsi="Times New Roman" w:cs="Times New Roman"/>
          <w:kern w:val="0"/>
          <w14:ligatures w14:val="none"/>
        </w:rPr>
        <w:t xml:space="preserve"> </w:t>
      </w:r>
      <w:proofErr w:type="spellStart"/>
      <w:r w:rsidRPr="0058497B">
        <w:rPr>
          <w:rFonts w:ascii="Times New Roman" w:hAnsi="Times New Roman" w:cs="Times New Roman"/>
          <w:kern w:val="0"/>
          <w14:ligatures w14:val="none"/>
        </w:rPr>
        <w:t>ha-Yahad</w:t>
      </w:r>
      <w:proofErr w:type="spellEnd"/>
      <w:r w:rsidRPr="0058497B">
        <w:rPr>
          <w:rFonts w:ascii="Times New Roman" w:hAnsi="Times New Roman" w:cs="Times New Roman"/>
          <w:kern w:val="0"/>
          <w14:ligatures w14:val="none"/>
        </w:rPr>
        <w:t>) and Damascus Document provide detailed instructions for a pious, communal life separated from mainstream society. They emphasize:</w:t>
      </w:r>
    </w:p>
    <w:p w14:paraId="48AC8A01" w14:textId="77777777" w:rsidR="0058497B" w:rsidRPr="0058497B" w:rsidRDefault="0058497B" w:rsidP="0058497B">
      <w:pPr>
        <w:numPr>
          <w:ilvl w:val="0"/>
          <w:numId w:val="5"/>
        </w:numPr>
        <w:spacing w:before="100" w:beforeAutospacing="1" w:after="100" w:afterAutospacing="1" w:line="240" w:lineRule="auto"/>
        <w:rPr>
          <w:rFonts w:ascii="Times New Roman" w:hAnsi="Times New Roman" w:cs="Times New Roman"/>
          <w:kern w:val="0"/>
          <w14:ligatures w14:val="none"/>
        </w:rPr>
      </w:pPr>
      <w:r w:rsidRPr="0058497B">
        <w:rPr>
          <w:rFonts w:ascii="Times New Roman" w:hAnsi="Times New Roman" w:cs="Times New Roman"/>
          <w:kern w:val="0"/>
          <w14:ligatures w14:val="none"/>
        </w:rPr>
        <w:t>Dualism: Between the “Sons of Light” and the “Sons of Darkness.”</w:t>
      </w:r>
    </w:p>
    <w:p w14:paraId="1E37226E" w14:textId="77777777" w:rsidR="0058497B" w:rsidRPr="0058497B" w:rsidRDefault="0058497B" w:rsidP="0058497B">
      <w:pPr>
        <w:numPr>
          <w:ilvl w:val="0"/>
          <w:numId w:val="5"/>
        </w:numPr>
        <w:spacing w:before="100" w:beforeAutospacing="1" w:after="100" w:afterAutospacing="1" w:line="240" w:lineRule="auto"/>
        <w:rPr>
          <w:rFonts w:ascii="Times New Roman" w:hAnsi="Times New Roman" w:cs="Times New Roman"/>
          <w:kern w:val="0"/>
          <w14:ligatures w14:val="none"/>
        </w:rPr>
      </w:pPr>
      <w:r w:rsidRPr="0058497B">
        <w:rPr>
          <w:rFonts w:ascii="Times New Roman" w:hAnsi="Times New Roman" w:cs="Times New Roman"/>
          <w:kern w:val="0"/>
          <w14:ligatures w14:val="none"/>
        </w:rPr>
        <w:t>Predestination: Belief in divine election and judgment.</w:t>
      </w:r>
    </w:p>
    <w:p w14:paraId="4430962D" w14:textId="77777777" w:rsidR="0058497B" w:rsidRPr="0058497B" w:rsidRDefault="0058497B" w:rsidP="0058497B">
      <w:pPr>
        <w:numPr>
          <w:ilvl w:val="0"/>
          <w:numId w:val="5"/>
        </w:numPr>
        <w:spacing w:before="100" w:beforeAutospacing="1" w:after="100" w:afterAutospacing="1" w:line="240" w:lineRule="auto"/>
        <w:rPr>
          <w:rFonts w:ascii="Times New Roman" w:hAnsi="Times New Roman" w:cs="Times New Roman"/>
          <w:kern w:val="0"/>
          <w14:ligatures w14:val="none"/>
        </w:rPr>
      </w:pPr>
      <w:r w:rsidRPr="0058497B">
        <w:rPr>
          <w:rFonts w:ascii="Times New Roman" w:hAnsi="Times New Roman" w:cs="Times New Roman"/>
          <w:kern w:val="0"/>
          <w14:ligatures w14:val="none"/>
        </w:rPr>
        <w:t>Messianism: Some scrolls expect two messiahs—a priestly (</w:t>
      </w:r>
      <w:proofErr w:type="spellStart"/>
      <w:r w:rsidRPr="0058497B">
        <w:rPr>
          <w:rFonts w:ascii="Times New Roman" w:hAnsi="Times New Roman" w:cs="Times New Roman"/>
          <w:kern w:val="0"/>
          <w14:ligatures w14:val="none"/>
        </w:rPr>
        <w:t>Aaronic</w:t>
      </w:r>
      <w:proofErr w:type="spellEnd"/>
      <w:r w:rsidRPr="0058497B">
        <w:rPr>
          <w:rFonts w:ascii="Times New Roman" w:hAnsi="Times New Roman" w:cs="Times New Roman"/>
          <w:kern w:val="0"/>
          <w14:ligatures w14:val="none"/>
        </w:rPr>
        <w:t>) and a royal (</w:t>
      </w:r>
      <w:proofErr w:type="spellStart"/>
      <w:r w:rsidRPr="0058497B">
        <w:rPr>
          <w:rFonts w:ascii="Times New Roman" w:hAnsi="Times New Roman" w:cs="Times New Roman"/>
          <w:kern w:val="0"/>
          <w14:ligatures w14:val="none"/>
        </w:rPr>
        <w:t>Davidic</w:t>
      </w:r>
      <w:proofErr w:type="spellEnd"/>
      <w:r w:rsidRPr="0058497B">
        <w:rPr>
          <w:rFonts w:ascii="Times New Roman" w:hAnsi="Times New Roman" w:cs="Times New Roman"/>
          <w:kern w:val="0"/>
          <w14:ligatures w14:val="none"/>
        </w:rPr>
        <w:t>)—unlike the singular messianic figure in later Christian thought.</w:t>
      </w:r>
    </w:p>
    <w:p w14:paraId="16FE0960" w14:textId="77777777" w:rsidR="0058497B" w:rsidRPr="0058497B" w:rsidRDefault="0058497B" w:rsidP="0058497B">
      <w:pPr>
        <w:spacing w:before="100" w:beforeAutospacing="1" w:after="100" w:afterAutospacing="1" w:line="240" w:lineRule="auto"/>
        <w:rPr>
          <w:rFonts w:ascii="Times New Roman" w:hAnsi="Times New Roman" w:cs="Times New Roman"/>
          <w:kern w:val="0"/>
          <w14:ligatures w14:val="none"/>
        </w:rPr>
      </w:pPr>
    </w:p>
    <w:p w14:paraId="2ABA773A" w14:textId="77777777" w:rsidR="0058497B" w:rsidRPr="0058497B" w:rsidRDefault="0058497B" w:rsidP="0058497B">
      <w:pPr>
        <w:spacing w:before="100" w:beforeAutospacing="1" w:after="100" w:afterAutospacing="1" w:line="240" w:lineRule="auto"/>
        <w:rPr>
          <w:rFonts w:ascii="Times New Roman" w:hAnsi="Times New Roman" w:cs="Times New Roman"/>
          <w:kern w:val="0"/>
          <w14:ligatures w14:val="none"/>
        </w:rPr>
      </w:pPr>
      <w:r w:rsidRPr="0058497B">
        <w:rPr>
          <w:rFonts w:ascii="Times New Roman" w:hAnsi="Times New Roman" w:cs="Times New Roman"/>
          <w:kern w:val="0"/>
          <w14:ligatures w14:val="none"/>
        </w:rPr>
        <w:lastRenderedPageBreak/>
        <w:t>The War Scroll outlines a final eschatological battle between good and evil. These apocalyptic beliefs foreshadow similar themes in the New Testament Book of Revelation, though the Dead Sea Scrolls themselves are firmly pre-Christian and rooted in Jewish theology.</w:t>
      </w:r>
    </w:p>
    <w:p w14:paraId="4E7CAD42" w14:textId="77777777" w:rsidR="0058497B" w:rsidRPr="0058497B" w:rsidRDefault="0058497B" w:rsidP="0058497B">
      <w:pPr>
        <w:spacing w:before="100" w:beforeAutospacing="1" w:after="100" w:afterAutospacing="1" w:line="240" w:lineRule="auto"/>
        <w:rPr>
          <w:rFonts w:ascii="Times New Roman" w:hAnsi="Times New Roman" w:cs="Times New Roman"/>
          <w:kern w:val="0"/>
          <w14:ligatures w14:val="none"/>
        </w:rPr>
      </w:pPr>
    </w:p>
    <w:p w14:paraId="200F97DE" w14:textId="77777777" w:rsidR="0058497B" w:rsidRPr="0058497B" w:rsidRDefault="0058497B" w:rsidP="0058497B">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58497B">
        <w:rPr>
          <w:rFonts w:ascii="Times New Roman" w:eastAsia="Times New Roman" w:hAnsi="Times New Roman" w:cs="Times New Roman"/>
          <w:b/>
          <w:bCs/>
          <w:kern w:val="0"/>
          <w:sz w:val="27"/>
          <w:szCs w:val="27"/>
          <w14:ligatures w14:val="none"/>
        </w:rPr>
        <w:t>D. Impact on New Testament and Early Christianity Studies</w:t>
      </w:r>
    </w:p>
    <w:p w14:paraId="1141DFCA" w14:textId="77777777" w:rsidR="0058497B" w:rsidRPr="0058497B" w:rsidRDefault="0058497B" w:rsidP="0058497B">
      <w:pPr>
        <w:spacing w:before="100" w:beforeAutospacing="1" w:after="100" w:afterAutospacing="1" w:line="240" w:lineRule="auto"/>
        <w:rPr>
          <w:rFonts w:ascii="Times New Roman" w:hAnsi="Times New Roman" w:cs="Times New Roman"/>
          <w:kern w:val="0"/>
          <w14:ligatures w14:val="none"/>
        </w:rPr>
      </w:pPr>
    </w:p>
    <w:p w14:paraId="27330E71" w14:textId="77777777" w:rsidR="0058497B" w:rsidRPr="0058497B" w:rsidRDefault="0058497B" w:rsidP="0058497B">
      <w:pPr>
        <w:spacing w:before="100" w:beforeAutospacing="1" w:after="100" w:afterAutospacing="1" w:line="240" w:lineRule="auto"/>
        <w:rPr>
          <w:rFonts w:ascii="Times New Roman" w:hAnsi="Times New Roman" w:cs="Times New Roman"/>
          <w:kern w:val="0"/>
          <w14:ligatures w14:val="none"/>
        </w:rPr>
      </w:pPr>
      <w:r w:rsidRPr="0058497B">
        <w:rPr>
          <w:rFonts w:ascii="Times New Roman" w:hAnsi="Times New Roman" w:cs="Times New Roman"/>
          <w:kern w:val="0"/>
          <w14:ligatures w14:val="none"/>
        </w:rPr>
        <w:t>While the scrolls are not Christian documents, they provide critical background for understanding the world into which Christianity emerged. Shared motifs include:</w:t>
      </w:r>
    </w:p>
    <w:p w14:paraId="6CBDD885" w14:textId="77777777" w:rsidR="0058497B" w:rsidRPr="0058497B" w:rsidRDefault="0058497B" w:rsidP="0058497B">
      <w:pPr>
        <w:numPr>
          <w:ilvl w:val="0"/>
          <w:numId w:val="6"/>
        </w:numPr>
        <w:spacing w:before="100" w:beforeAutospacing="1" w:after="100" w:afterAutospacing="1" w:line="240" w:lineRule="auto"/>
        <w:rPr>
          <w:rFonts w:ascii="Times New Roman" w:hAnsi="Times New Roman" w:cs="Times New Roman"/>
          <w:kern w:val="0"/>
          <w14:ligatures w14:val="none"/>
        </w:rPr>
      </w:pPr>
      <w:r w:rsidRPr="0058497B">
        <w:rPr>
          <w:rFonts w:ascii="Times New Roman" w:hAnsi="Times New Roman" w:cs="Times New Roman"/>
          <w:kern w:val="0"/>
          <w14:ligatures w14:val="none"/>
        </w:rPr>
        <w:t>Baptism and purification: Qumran’s use of ritual immersion parallels early Christian baptism.</w:t>
      </w:r>
    </w:p>
    <w:p w14:paraId="4A284D7E" w14:textId="77777777" w:rsidR="0058497B" w:rsidRPr="0058497B" w:rsidRDefault="0058497B" w:rsidP="0058497B">
      <w:pPr>
        <w:numPr>
          <w:ilvl w:val="0"/>
          <w:numId w:val="6"/>
        </w:numPr>
        <w:spacing w:before="100" w:beforeAutospacing="1" w:after="100" w:afterAutospacing="1" w:line="240" w:lineRule="auto"/>
        <w:rPr>
          <w:rFonts w:ascii="Times New Roman" w:hAnsi="Times New Roman" w:cs="Times New Roman"/>
          <w:kern w:val="0"/>
          <w14:ligatures w14:val="none"/>
        </w:rPr>
      </w:pPr>
      <w:r w:rsidRPr="0058497B">
        <w:rPr>
          <w:rFonts w:ascii="Times New Roman" w:hAnsi="Times New Roman" w:cs="Times New Roman"/>
          <w:kern w:val="0"/>
          <w14:ligatures w14:val="none"/>
        </w:rPr>
        <w:t>Messianic hope and resurrection: Found in sectarian writings and later echoed in Christian texts.</w:t>
      </w:r>
    </w:p>
    <w:p w14:paraId="0731B943" w14:textId="77777777" w:rsidR="0058497B" w:rsidRPr="0058497B" w:rsidRDefault="0058497B" w:rsidP="0058497B">
      <w:pPr>
        <w:numPr>
          <w:ilvl w:val="0"/>
          <w:numId w:val="6"/>
        </w:numPr>
        <w:spacing w:before="100" w:beforeAutospacing="1" w:after="100" w:afterAutospacing="1" w:line="240" w:lineRule="auto"/>
        <w:rPr>
          <w:rFonts w:ascii="Times New Roman" w:hAnsi="Times New Roman" w:cs="Times New Roman"/>
          <w:kern w:val="0"/>
          <w14:ligatures w14:val="none"/>
        </w:rPr>
      </w:pPr>
      <w:r w:rsidRPr="0058497B">
        <w:rPr>
          <w:rFonts w:ascii="Times New Roman" w:hAnsi="Times New Roman" w:cs="Times New Roman"/>
          <w:kern w:val="0"/>
          <w14:ligatures w14:val="none"/>
        </w:rPr>
        <w:t xml:space="preserve">Scriptural interpretation: The </w:t>
      </w:r>
      <w:proofErr w:type="spellStart"/>
      <w:r w:rsidRPr="0058497B">
        <w:rPr>
          <w:rFonts w:ascii="Times New Roman" w:hAnsi="Times New Roman" w:cs="Times New Roman"/>
          <w:kern w:val="0"/>
          <w14:ligatures w14:val="none"/>
        </w:rPr>
        <w:t>pesher</w:t>
      </w:r>
      <w:proofErr w:type="spellEnd"/>
      <w:r w:rsidRPr="0058497B">
        <w:rPr>
          <w:rFonts w:ascii="Times New Roman" w:hAnsi="Times New Roman" w:cs="Times New Roman"/>
          <w:kern w:val="0"/>
          <w14:ligatures w14:val="none"/>
        </w:rPr>
        <w:t xml:space="preserve"> method resembles early Christian typology, where Hebrew texts are reinterpreted in light of new events.</w:t>
      </w:r>
    </w:p>
    <w:p w14:paraId="199CF4B1" w14:textId="77777777" w:rsidR="0058497B" w:rsidRPr="0058497B" w:rsidRDefault="0058497B" w:rsidP="0058497B">
      <w:pPr>
        <w:spacing w:before="100" w:beforeAutospacing="1" w:after="100" w:afterAutospacing="1" w:line="240" w:lineRule="auto"/>
        <w:rPr>
          <w:rFonts w:ascii="Times New Roman" w:hAnsi="Times New Roman" w:cs="Times New Roman"/>
          <w:kern w:val="0"/>
          <w14:ligatures w14:val="none"/>
        </w:rPr>
      </w:pPr>
    </w:p>
    <w:p w14:paraId="3563EA5E" w14:textId="77777777" w:rsidR="0058497B" w:rsidRPr="0058497B" w:rsidRDefault="0058497B" w:rsidP="0058497B">
      <w:pPr>
        <w:spacing w:before="100" w:beforeAutospacing="1" w:after="100" w:afterAutospacing="1" w:line="240" w:lineRule="auto"/>
        <w:rPr>
          <w:rFonts w:ascii="Times New Roman" w:hAnsi="Times New Roman" w:cs="Times New Roman"/>
          <w:kern w:val="0"/>
          <w14:ligatures w14:val="none"/>
        </w:rPr>
      </w:pPr>
      <w:r w:rsidRPr="0058497B">
        <w:rPr>
          <w:rFonts w:ascii="Times New Roman" w:hAnsi="Times New Roman" w:cs="Times New Roman"/>
          <w:kern w:val="0"/>
          <w14:ligatures w14:val="none"/>
        </w:rPr>
        <w:t>The Teacher of Righteousness, a central figure in some scrolls, has been compared to Jesus or John the Baptist, though no direct link exists. These parallels have generated decades of scholarly discussion on continuity and divergence between Jewish sects and early Christianity.</w:t>
      </w:r>
    </w:p>
    <w:p w14:paraId="5522D73D" w14:textId="77777777" w:rsidR="0058497B" w:rsidRPr="0058497B" w:rsidRDefault="0058497B" w:rsidP="0058497B">
      <w:pPr>
        <w:spacing w:after="0" w:line="240" w:lineRule="auto"/>
        <w:rPr>
          <w:rFonts w:ascii="Times New Roman" w:eastAsia="Times New Roman" w:hAnsi="Times New Roman" w:cs="Times New Roman"/>
          <w:kern w:val="0"/>
          <w14:ligatures w14:val="none"/>
        </w:rPr>
      </w:pPr>
      <w:r w:rsidRPr="0058497B">
        <w:rPr>
          <w:rFonts w:ascii="Times New Roman" w:eastAsia="Times New Roman" w:hAnsi="Times New Roman" w:cs="Times New Roman"/>
          <w:noProof/>
          <w:kern w:val="0"/>
          <w14:ligatures w14:val="none"/>
        </w:rPr>
        <mc:AlternateContent>
          <mc:Choice Requires="wps">
            <w:drawing>
              <wp:inline distT="0" distB="0" distL="0" distR="0" wp14:anchorId="47893435" wp14:editId="75A4C33F">
                <wp:extent cx="5943600" cy="1270"/>
                <wp:effectExtent l="0" t="31750" r="0" b="36830"/>
                <wp:docPr id="1333086140"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1614725" cy="1270"/>
                        </a:xfrm>
                        <a:prstGeom prst="rect">
                          <a:avLst/>
                        </a:prstGeom>
                        <a:noFill/>
                        <a:ln w="9525">
                          <a:gradFill rotWithShape="0">
                            <a:gsLst>
                              <a:gs pos="0">
                                <a:srgbClr val="A0A0A0"/>
                              </a:gs>
                              <a:gs pos="100000">
                                <a:srgbClr val="E3E3E3"/>
                              </a:gs>
                            </a:gsLst>
                            <a:lin ang="5400000"/>
                          </a:gradFill>
                          <a:miter lim="800000"/>
                          <a:headEnd/>
                          <a:tailEnd/>
                        </a:ln>
                      </wps:spPr>
                      <wps:bodyPr rot="0" vert="horz" wrap="square" lIns="91440" tIns="45720" rIns="91440" bIns="45720" anchor="t" anchorCtr="0" upright="1">
                        <a:noAutofit/>
                      </wps:bodyPr>
                    </wps:wsp>
                  </a:graphicData>
                </a:graphic>
              </wp:inline>
            </w:drawing>
          </mc:Choice>
          <mc:Fallback>
            <w:pict>
              <v:rect w14:anchorId="13ACAA0E" id="Rectangle 2" o:spid="_x0000_s1026" style="width:468pt;height:.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" filled="f">
                <w10:anchorlock/>
              </v:rect>
            </w:pict>
          </mc:Fallback>
        </mc:AlternateContent>
      </w:r>
    </w:p>
    <w:p w14:paraId="34A816C1" w14:textId="77777777" w:rsidR="0058497B" w:rsidRPr="0058497B" w:rsidRDefault="0058497B" w:rsidP="0058497B">
      <w:pPr>
        <w:spacing w:before="100" w:beforeAutospacing="1" w:after="100" w:afterAutospacing="1" w:line="240" w:lineRule="auto"/>
        <w:outlineLvl w:val="1"/>
        <w:rPr>
          <w:rFonts w:ascii="Times New Roman" w:hAnsi="Times New Roman" w:cs="Times New Roman"/>
          <w:b/>
          <w:bCs/>
          <w:kern w:val="0"/>
          <w:sz w:val="36"/>
          <w:szCs w:val="36"/>
          <w14:ligatures w14:val="none"/>
        </w:rPr>
      </w:pPr>
      <w:r w:rsidRPr="0058497B">
        <w:rPr>
          <w:rFonts w:ascii="Times New Roman" w:eastAsia="Times New Roman" w:hAnsi="Times New Roman" w:cs="Times New Roman"/>
          <w:b/>
          <w:bCs/>
          <w:kern w:val="0"/>
          <w:sz w:val="36"/>
          <w:szCs w:val="36"/>
          <w14:ligatures w14:val="none"/>
        </w:rPr>
        <w:t>Conclusion</w:t>
      </w:r>
    </w:p>
    <w:p w14:paraId="2F7DAA8E" w14:textId="77777777" w:rsidR="0058497B" w:rsidRPr="0058497B" w:rsidRDefault="0058497B" w:rsidP="0058497B">
      <w:pPr>
        <w:spacing w:before="100" w:beforeAutospacing="1" w:after="100" w:afterAutospacing="1" w:line="240" w:lineRule="auto"/>
        <w:rPr>
          <w:rFonts w:ascii="Times New Roman" w:hAnsi="Times New Roman" w:cs="Times New Roman"/>
          <w:kern w:val="0"/>
          <w14:ligatures w14:val="none"/>
        </w:rPr>
      </w:pPr>
    </w:p>
    <w:p w14:paraId="0304C528" w14:textId="77777777" w:rsidR="0058497B" w:rsidRPr="0058497B" w:rsidRDefault="0058497B" w:rsidP="0058497B">
      <w:pPr>
        <w:spacing w:before="100" w:beforeAutospacing="1" w:after="100" w:afterAutospacing="1" w:line="240" w:lineRule="auto"/>
        <w:rPr>
          <w:rFonts w:ascii="Times New Roman" w:hAnsi="Times New Roman" w:cs="Times New Roman"/>
          <w:kern w:val="0"/>
          <w14:ligatures w14:val="none"/>
        </w:rPr>
      </w:pPr>
      <w:r w:rsidRPr="0058497B">
        <w:rPr>
          <w:rFonts w:ascii="Times New Roman" w:hAnsi="Times New Roman" w:cs="Times New Roman"/>
          <w:kern w:val="0"/>
          <w14:ligatures w14:val="none"/>
        </w:rPr>
        <w:t>The Dead Sea Scrolls are an unparalleled window into the religious, political, and textual world of Second Temple Judaism. Their discovery has redefined key areas of biblical scholarship, revealing a more complex and vibrant picture of Jewish life and belief before the rise of Rabbinic Judaism and Christianity. Far from being a monolithic tradition, ancient Judaism was marked by rich textual pluralism, apocalyptic expectation, and intense sectarian debates—many of which shaped the theological foundations of later religious traditions.</w:t>
      </w:r>
    </w:p>
    <w:p w14:paraId="690C5284" w14:textId="77777777" w:rsidR="0058497B" w:rsidRPr="0058497B" w:rsidRDefault="0058497B" w:rsidP="0058497B">
      <w:pPr>
        <w:spacing w:after="0" w:line="240" w:lineRule="auto"/>
        <w:rPr>
          <w:rFonts w:ascii="Times New Roman" w:eastAsia="Times New Roman" w:hAnsi="Times New Roman" w:cs="Times New Roman"/>
          <w:kern w:val="0"/>
          <w14:ligatures w14:val="none"/>
        </w:rPr>
      </w:pPr>
      <w:r w:rsidRPr="0058497B">
        <w:rPr>
          <w:rFonts w:ascii="Times New Roman" w:eastAsia="Times New Roman" w:hAnsi="Times New Roman" w:cs="Times New Roman"/>
          <w:noProof/>
          <w:kern w:val="0"/>
          <w14:ligatures w14:val="none"/>
        </w:rPr>
        <mc:AlternateContent>
          <mc:Choice Requires="wps">
            <w:drawing>
              <wp:inline distT="0" distB="0" distL="0" distR="0" wp14:anchorId="4CE33A9A" wp14:editId="444C0362">
                <wp:extent cx="5943600" cy="1270"/>
                <wp:effectExtent l="0" t="33020" r="0" b="38100"/>
                <wp:docPr id="1914897641"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1614725" cy="1270"/>
                        </a:xfrm>
                        <a:prstGeom prst="rect">
                          <a:avLst/>
                        </a:prstGeom>
                        <a:noFill/>
                        <a:ln w="9525">
                          <a:gradFill rotWithShape="0">
                            <a:gsLst>
                              <a:gs pos="0">
                                <a:srgbClr val="A0A0A0"/>
                              </a:gs>
                              <a:gs pos="100000">
                                <a:srgbClr val="E3E3E3"/>
                              </a:gs>
                            </a:gsLst>
                            <a:lin ang="5400000"/>
                          </a:gradFill>
                          <a:miter lim="800000"/>
                          <a:headEnd/>
                          <a:tailEnd/>
                        </a:ln>
                      </wps:spPr>
                      <wps:bodyPr rot="0" vert="horz" wrap="square" lIns="91440" tIns="45720" rIns="91440" bIns="45720" anchor="t" anchorCtr="0" upright="1">
                        <a:noAutofit/>
                      </wps:bodyPr>
                    </wps:wsp>
                  </a:graphicData>
                </a:graphic>
              </wp:inline>
            </w:drawing>
          </mc:Choice>
          <mc:Fallback>
            <w:pict>
              <v:rect w14:anchorId="1BFF76A1" id="Rectangle 1" o:spid="_x0000_s1026" style="width:468pt;height:.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" filled="f">
                <w10:anchorlock/>
              </v:rect>
            </w:pict>
          </mc:Fallback>
        </mc:AlternateContent>
      </w:r>
    </w:p>
    <w:p w14:paraId="18C67AA2" w14:textId="77777777" w:rsidR="0058497B" w:rsidRPr="0058497B" w:rsidRDefault="0058497B" w:rsidP="0058497B">
      <w:pPr>
        <w:spacing w:before="100" w:beforeAutospacing="1" w:after="100" w:afterAutospacing="1" w:line="240" w:lineRule="auto"/>
        <w:outlineLvl w:val="1"/>
        <w:rPr>
          <w:rFonts w:ascii="Times New Roman" w:hAnsi="Times New Roman" w:cs="Times New Roman"/>
          <w:b/>
          <w:bCs/>
          <w:kern w:val="0"/>
          <w:sz w:val="36"/>
          <w:szCs w:val="36"/>
          <w14:ligatures w14:val="none"/>
        </w:rPr>
      </w:pPr>
      <w:r w:rsidRPr="0058497B">
        <w:rPr>
          <w:rFonts w:ascii="Times New Roman" w:eastAsia="Times New Roman" w:hAnsi="Times New Roman" w:cs="Times New Roman"/>
          <w:b/>
          <w:bCs/>
          <w:kern w:val="0"/>
          <w:sz w:val="36"/>
          <w:szCs w:val="36"/>
          <w14:ligatures w14:val="none"/>
        </w:rPr>
        <w:t>Bibliography</w:t>
      </w:r>
    </w:p>
    <w:p w14:paraId="115B59D1" w14:textId="77777777" w:rsidR="0058497B" w:rsidRPr="0058497B" w:rsidRDefault="0058497B" w:rsidP="0058497B">
      <w:pPr>
        <w:numPr>
          <w:ilvl w:val="0"/>
          <w:numId w:val="7"/>
        </w:numPr>
        <w:spacing w:before="100" w:beforeAutospacing="1" w:after="100" w:afterAutospacing="1" w:line="240" w:lineRule="auto"/>
        <w:rPr>
          <w:rFonts w:ascii="Times New Roman" w:hAnsi="Times New Roman" w:cs="Times New Roman"/>
          <w:kern w:val="0"/>
          <w14:ligatures w14:val="none"/>
        </w:rPr>
      </w:pPr>
      <w:r w:rsidRPr="0058497B">
        <w:rPr>
          <w:rFonts w:ascii="Times New Roman" w:hAnsi="Times New Roman" w:cs="Times New Roman"/>
          <w:kern w:val="0"/>
          <w14:ligatures w14:val="none"/>
        </w:rPr>
        <w:t>Collins, J. J. (2010). Beyond the Qumran Community: The Sectarian Movement of the Dead Sea Scrolls. Eerdmans.</w:t>
      </w:r>
    </w:p>
    <w:p w14:paraId="78916CE8" w14:textId="77777777" w:rsidR="0058497B" w:rsidRPr="0058497B" w:rsidRDefault="0058497B" w:rsidP="0058497B">
      <w:pPr>
        <w:numPr>
          <w:ilvl w:val="0"/>
          <w:numId w:val="7"/>
        </w:numPr>
        <w:spacing w:before="100" w:beforeAutospacing="1" w:after="100" w:afterAutospacing="1" w:line="240" w:lineRule="auto"/>
        <w:rPr>
          <w:rFonts w:ascii="Times New Roman" w:hAnsi="Times New Roman" w:cs="Times New Roman"/>
          <w:kern w:val="0"/>
          <w14:ligatures w14:val="none"/>
        </w:rPr>
      </w:pPr>
      <w:proofErr w:type="spellStart"/>
      <w:r w:rsidRPr="0058497B">
        <w:rPr>
          <w:rFonts w:ascii="Times New Roman" w:hAnsi="Times New Roman" w:cs="Times New Roman"/>
          <w:kern w:val="0"/>
          <w14:ligatures w14:val="none"/>
        </w:rPr>
        <w:lastRenderedPageBreak/>
        <w:t>Charlesworth</w:t>
      </w:r>
      <w:proofErr w:type="spellEnd"/>
      <w:r w:rsidRPr="0058497B">
        <w:rPr>
          <w:rFonts w:ascii="Times New Roman" w:hAnsi="Times New Roman" w:cs="Times New Roman"/>
          <w:kern w:val="0"/>
          <w14:ligatures w14:val="none"/>
        </w:rPr>
        <w:t>, J. H. (Ed.). (2006). The Bible and the Dead Sea Scrolls (Vols. 1–3). Baylor University Press.</w:t>
      </w:r>
    </w:p>
    <w:p w14:paraId="7E0BF325" w14:textId="77777777" w:rsidR="0058497B" w:rsidRPr="0058497B" w:rsidRDefault="0058497B" w:rsidP="0058497B">
      <w:pPr>
        <w:numPr>
          <w:ilvl w:val="0"/>
          <w:numId w:val="7"/>
        </w:numPr>
        <w:spacing w:before="100" w:beforeAutospacing="1" w:after="100" w:afterAutospacing="1" w:line="240" w:lineRule="auto"/>
        <w:rPr>
          <w:rFonts w:ascii="Times New Roman" w:hAnsi="Times New Roman" w:cs="Times New Roman"/>
          <w:kern w:val="0"/>
          <w14:ligatures w14:val="none"/>
        </w:rPr>
      </w:pPr>
      <w:r w:rsidRPr="0058497B">
        <w:rPr>
          <w:rFonts w:ascii="Times New Roman" w:hAnsi="Times New Roman" w:cs="Times New Roman"/>
          <w:kern w:val="0"/>
          <w14:ligatures w14:val="none"/>
        </w:rPr>
        <w:t>García Martínez, F. (1996). The Dead Sea Scrolls Translated: The Qumran Texts in English. Brill.</w:t>
      </w:r>
    </w:p>
    <w:p w14:paraId="2B7BBDD1" w14:textId="77777777" w:rsidR="0058497B" w:rsidRPr="0058497B" w:rsidRDefault="0058497B" w:rsidP="0058497B">
      <w:pPr>
        <w:numPr>
          <w:ilvl w:val="0"/>
          <w:numId w:val="7"/>
        </w:numPr>
        <w:spacing w:before="100" w:beforeAutospacing="1" w:after="100" w:afterAutospacing="1" w:line="240" w:lineRule="auto"/>
        <w:rPr>
          <w:rFonts w:ascii="Times New Roman" w:hAnsi="Times New Roman" w:cs="Times New Roman"/>
          <w:kern w:val="0"/>
          <w14:ligatures w14:val="none"/>
        </w:rPr>
      </w:pPr>
      <w:proofErr w:type="spellStart"/>
      <w:r w:rsidRPr="0058497B">
        <w:rPr>
          <w:rFonts w:ascii="Times New Roman" w:hAnsi="Times New Roman" w:cs="Times New Roman"/>
          <w:kern w:val="0"/>
          <w14:ligatures w14:val="none"/>
        </w:rPr>
        <w:t>Magness</w:t>
      </w:r>
      <w:proofErr w:type="spellEnd"/>
      <w:r w:rsidRPr="0058497B">
        <w:rPr>
          <w:rFonts w:ascii="Times New Roman" w:hAnsi="Times New Roman" w:cs="Times New Roman"/>
          <w:kern w:val="0"/>
          <w14:ligatures w14:val="none"/>
        </w:rPr>
        <w:t>, J. (2002). The Archaeology of Qumran and the Dead Sea Scrolls. Eerdmans.</w:t>
      </w:r>
    </w:p>
    <w:p w14:paraId="452DB9A4" w14:textId="77777777" w:rsidR="0058497B" w:rsidRPr="0058497B" w:rsidRDefault="0058497B" w:rsidP="0058497B">
      <w:pPr>
        <w:numPr>
          <w:ilvl w:val="0"/>
          <w:numId w:val="7"/>
        </w:numPr>
        <w:spacing w:before="100" w:beforeAutospacing="1" w:after="100" w:afterAutospacing="1" w:line="240" w:lineRule="auto"/>
        <w:rPr>
          <w:rFonts w:ascii="Times New Roman" w:hAnsi="Times New Roman" w:cs="Times New Roman"/>
          <w:kern w:val="0"/>
          <w14:ligatures w14:val="none"/>
        </w:rPr>
      </w:pPr>
      <w:proofErr w:type="spellStart"/>
      <w:r w:rsidRPr="0058497B">
        <w:rPr>
          <w:rFonts w:ascii="Times New Roman" w:hAnsi="Times New Roman" w:cs="Times New Roman"/>
          <w:kern w:val="0"/>
          <w14:ligatures w14:val="none"/>
        </w:rPr>
        <w:t>Schiffman</w:t>
      </w:r>
      <w:proofErr w:type="spellEnd"/>
      <w:r w:rsidRPr="0058497B">
        <w:rPr>
          <w:rFonts w:ascii="Times New Roman" w:hAnsi="Times New Roman" w:cs="Times New Roman"/>
          <w:kern w:val="0"/>
          <w14:ligatures w14:val="none"/>
        </w:rPr>
        <w:t>, L. H. (1994). Reclaiming the Dead Sea Scrolls: The History of Judaism, the Background of Christianity. Jewish Publication Society.</w:t>
      </w:r>
    </w:p>
    <w:p w14:paraId="0637A3B2" w14:textId="77777777" w:rsidR="0058497B" w:rsidRPr="0058497B" w:rsidRDefault="0058497B" w:rsidP="0058497B">
      <w:pPr>
        <w:numPr>
          <w:ilvl w:val="0"/>
          <w:numId w:val="7"/>
        </w:numPr>
        <w:spacing w:before="100" w:beforeAutospacing="1" w:after="100" w:afterAutospacing="1" w:line="240" w:lineRule="auto"/>
        <w:rPr>
          <w:rFonts w:ascii="Times New Roman" w:hAnsi="Times New Roman" w:cs="Times New Roman"/>
          <w:kern w:val="0"/>
          <w14:ligatures w14:val="none"/>
        </w:rPr>
      </w:pPr>
      <w:r w:rsidRPr="0058497B">
        <w:rPr>
          <w:rFonts w:ascii="Times New Roman" w:hAnsi="Times New Roman" w:cs="Times New Roman"/>
          <w:kern w:val="0"/>
          <w14:ligatures w14:val="none"/>
        </w:rPr>
        <w:t>Tov, E. (2012). Textual Criticism of the Hebrew Bible (3rd ed.). Fortress Press.</w:t>
      </w:r>
    </w:p>
    <w:p w14:paraId="1F8F9259" w14:textId="77777777" w:rsidR="0058497B" w:rsidRPr="0058497B" w:rsidRDefault="0058497B" w:rsidP="0058497B">
      <w:pPr>
        <w:numPr>
          <w:ilvl w:val="0"/>
          <w:numId w:val="7"/>
        </w:numPr>
        <w:spacing w:before="100" w:beforeAutospacing="1" w:after="100" w:afterAutospacing="1" w:line="240" w:lineRule="auto"/>
        <w:rPr>
          <w:rFonts w:ascii="Times New Roman" w:hAnsi="Times New Roman" w:cs="Times New Roman"/>
          <w:kern w:val="0"/>
          <w14:ligatures w14:val="none"/>
        </w:rPr>
      </w:pPr>
      <w:proofErr w:type="spellStart"/>
      <w:r w:rsidRPr="0058497B">
        <w:rPr>
          <w:rFonts w:ascii="Times New Roman" w:hAnsi="Times New Roman" w:cs="Times New Roman"/>
          <w:kern w:val="0"/>
          <w14:ligatures w14:val="none"/>
        </w:rPr>
        <w:t>VanderKam</w:t>
      </w:r>
      <w:proofErr w:type="spellEnd"/>
      <w:r w:rsidRPr="0058497B">
        <w:rPr>
          <w:rFonts w:ascii="Times New Roman" w:hAnsi="Times New Roman" w:cs="Times New Roman"/>
          <w:kern w:val="0"/>
          <w14:ligatures w14:val="none"/>
        </w:rPr>
        <w:t>, J. C., &amp; Flint, P. W. (2005). The Meaning of the Dead Sea Scrolls: Their Significance for Understanding the Bible, Judaism, Jesus, and Christianity. HarperOne.</w:t>
      </w:r>
    </w:p>
    <w:p w14:paraId="61EE1A06" w14:textId="77777777" w:rsidR="0058497B" w:rsidRPr="0058497B" w:rsidRDefault="0058497B" w:rsidP="0058497B">
      <w:pPr>
        <w:numPr>
          <w:ilvl w:val="0"/>
          <w:numId w:val="7"/>
        </w:numPr>
        <w:spacing w:before="100" w:beforeAutospacing="1" w:after="100" w:afterAutospacing="1" w:line="240" w:lineRule="auto"/>
        <w:rPr>
          <w:rFonts w:ascii="Times New Roman" w:hAnsi="Times New Roman" w:cs="Times New Roman"/>
          <w:kern w:val="0"/>
          <w14:ligatures w14:val="none"/>
        </w:rPr>
      </w:pPr>
      <w:proofErr w:type="spellStart"/>
      <w:r w:rsidRPr="0058497B">
        <w:rPr>
          <w:rFonts w:ascii="Times New Roman" w:hAnsi="Times New Roman" w:cs="Times New Roman"/>
          <w:kern w:val="0"/>
          <w14:ligatures w14:val="none"/>
        </w:rPr>
        <w:t>Vermes</w:t>
      </w:r>
      <w:proofErr w:type="spellEnd"/>
      <w:r w:rsidRPr="0058497B">
        <w:rPr>
          <w:rFonts w:ascii="Times New Roman" w:hAnsi="Times New Roman" w:cs="Times New Roman"/>
          <w:kern w:val="0"/>
          <w14:ligatures w14:val="none"/>
        </w:rPr>
        <w:t>, G. (2012). The Complete Dead Sea Scrolls in English (7th ed.). Penguin Classics.</w:t>
      </w:r>
    </w:p>
    <w:p w14:paraId="06695324" w14:textId="77777777" w:rsidR="0058497B" w:rsidRPr="0058497B" w:rsidRDefault="0058497B" w:rsidP="0058497B">
      <w:pPr>
        <w:numPr>
          <w:ilvl w:val="0"/>
          <w:numId w:val="7"/>
        </w:numPr>
        <w:spacing w:before="100" w:beforeAutospacing="1" w:after="100" w:afterAutospacing="1" w:line="240" w:lineRule="auto"/>
        <w:rPr>
          <w:rFonts w:ascii="Times New Roman" w:hAnsi="Times New Roman" w:cs="Times New Roman"/>
          <w:kern w:val="0"/>
          <w14:ligatures w14:val="none"/>
        </w:rPr>
      </w:pPr>
      <w:proofErr w:type="spellStart"/>
      <w:r w:rsidRPr="0058497B">
        <w:rPr>
          <w:rFonts w:ascii="Times New Roman" w:hAnsi="Times New Roman" w:cs="Times New Roman"/>
          <w:kern w:val="0"/>
          <w14:ligatures w14:val="none"/>
        </w:rPr>
        <w:t>Eshel</w:t>
      </w:r>
      <w:proofErr w:type="spellEnd"/>
      <w:r w:rsidRPr="0058497B">
        <w:rPr>
          <w:rFonts w:ascii="Times New Roman" w:hAnsi="Times New Roman" w:cs="Times New Roman"/>
          <w:kern w:val="0"/>
          <w14:ligatures w14:val="none"/>
        </w:rPr>
        <w:t>, H. (2008). The Dead Sea Scrolls and the Hasmonean State. Eerdmans.</w:t>
      </w:r>
    </w:p>
    <w:p w14:paraId="11A74254" w14:textId="77777777" w:rsidR="0058497B" w:rsidRPr="0058497B" w:rsidRDefault="0058497B" w:rsidP="0058497B">
      <w:pPr>
        <w:numPr>
          <w:ilvl w:val="0"/>
          <w:numId w:val="7"/>
        </w:numPr>
        <w:spacing w:before="100" w:beforeAutospacing="1" w:after="100" w:afterAutospacing="1" w:line="240" w:lineRule="auto"/>
        <w:rPr>
          <w:rFonts w:ascii="Times New Roman" w:hAnsi="Times New Roman" w:cs="Times New Roman"/>
          <w:kern w:val="0"/>
          <w14:ligatures w14:val="none"/>
        </w:rPr>
      </w:pPr>
      <w:r w:rsidRPr="0058497B">
        <w:rPr>
          <w:rFonts w:ascii="Times New Roman" w:hAnsi="Times New Roman" w:cs="Times New Roman"/>
          <w:kern w:val="0"/>
          <w14:ligatures w14:val="none"/>
        </w:rPr>
        <w:t>Brooke, G. J. (2006). The Dead Sea Scrolls and the New Testament. Fortress Press.</w:t>
      </w:r>
    </w:p>
    <w:p w14:paraId="29CBF579" w14:textId="77777777" w:rsidR="0058497B" w:rsidRDefault="0058497B"/>
    <w:sectPr w:rsidR="0058497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roman"/>
    <w:notTrueType/>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F74536"/>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A931FBF"/>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5555F9F"/>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F0E18CA"/>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ECC080E"/>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710B0A4E"/>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75627AA2"/>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88472666">
    <w:abstractNumId w:val="3"/>
  </w:num>
  <w:num w:numId="2" w16cid:durableId="2020427884">
    <w:abstractNumId w:val="5"/>
  </w:num>
  <w:num w:numId="3" w16cid:durableId="589003063">
    <w:abstractNumId w:val="2"/>
  </w:num>
  <w:num w:numId="4" w16cid:durableId="1904027358">
    <w:abstractNumId w:val="0"/>
  </w:num>
  <w:num w:numId="5" w16cid:durableId="760299086">
    <w:abstractNumId w:val="4"/>
  </w:num>
  <w:num w:numId="6" w16cid:durableId="1644430069">
    <w:abstractNumId w:val="6"/>
  </w:num>
  <w:num w:numId="7" w16cid:durableId="73257978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1"/>
  <w:proofState w:spelling="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8497B"/>
    <w:rsid w:val="0058497B"/>
    <w:rsid w:val="009D200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49E7C32"/>
  <w15:chartTrackingRefBased/>
  <w15:docId w15:val="{7EAA7286-71D4-E649-B875-82143E95C1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8497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58497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58497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8497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8497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8497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8497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8497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8497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8497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8497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8497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8497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8497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8497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8497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8497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8497B"/>
    <w:rPr>
      <w:rFonts w:eastAsiaTheme="majorEastAsia" w:cstheme="majorBidi"/>
      <w:color w:val="272727" w:themeColor="text1" w:themeTint="D8"/>
    </w:rPr>
  </w:style>
  <w:style w:type="paragraph" w:styleId="Title">
    <w:name w:val="Title"/>
    <w:basedOn w:val="Normal"/>
    <w:next w:val="Normal"/>
    <w:link w:val="TitleChar"/>
    <w:uiPriority w:val="10"/>
    <w:qFormat/>
    <w:rsid w:val="0058497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8497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8497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8497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8497B"/>
    <w:pPr>
      <w:spacing w:before="160"/>
      <w:jc w:val="center"/>
    </w:pPr>
    <w:rPr>
      <w:i/>
      <w:iCs/>
      <w:color w:val="404040" w:themeColor="text1" w:themeTint="BF"/>
    </w:rPr>
  </w:style>
  <w:style w:type="character" w:customStyle="1" w:styleId="QuoteChar">
    <w:name w:val="Quote Char"/>
    <w:basedOn w:val="DefaultParagraphFont"/>
    <w:link w:val="Quote"/>
    <w:uiPriority w:val="29"/>
    <w:rsid w:val="0058497B"/>
    <w:rPr>
      <w:i/>
      <w:iCs/>
      <w:color w:val="404040" w:themeColor="text1" w:themeTint="BF"/>
    </w:rPr>
  </w:style>
  <w:style w:type="paragraph" w:styleId="ListParagraph">
    <w:name w:val="List Paragraph"/>
    <w:basedOn w:val="Normal"/>
    <w:uiPriority w:val="34"/>
    <w:qFormat/>
    <w:rsid w:val="0058497B"/>
    <w:pPr>
      <w:ind w:left="720"/>
      <w:contextualSpacing/>
    </w:pPr>
  </w:style>
  <w:style w:type="character" w:styleId="IntenseEmphasis">
    <w:name w:val="Intense Emphasis"/>
    <w:basedOn w:val="DefaultParagraphFont"/>
    <w:uiPriority w:val="21"/>
    <w:qFormat/>
    <w:rsid w:val="0058497B"/>
    <w:rPr>
      <w:i/>
      <w:iCs/>
      <w:color w:val="0F4761" w:themeColor="accent1" w:themeShade="BF"/>
    </w:rPr>
  </w:style>
  <w:style w:type="paragraph" w:styleId="IntenseQuote">
    <w:name w:val="Intense Quote"/>
    <w:basedOn w:val="Normal"/>
    <w:next w:val="Normal"/>
    <w:link w:val="IntenseQuoteChar"/>
    <w:uiPriority w:val="30"/>
    <w:qFormat/>
    <w:rsid w:val="0058497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8497B"/>
    <w:rPr>
      <w:i/>
      <w:iCs/>
      <w:color w:val="0F4761" w:themeColor="accent1" w:themeShade="BF"/>
    </w:rPr>
  </w:style>
  <w:style w:type="character" w:styleId="IntenseReference">
    <w:name w:val="Intense Reference"/>
    <w:basedOn w:val="DefaultParagraphFont"/>
    <w:uiPriority w:val="32"/>
    <w:qFormat/>
    <w:rsid w:val="0058497B"/>
    <w:rPr>
      <w:b/>
      <w:bCs/>
      <w:smallCaps/>
      <w:color w:val="0F4761" w:themeColor="accent1" w:themeShade="BF"/>
      <w:spacing w:val="5"/>
    </w:rPr>
  </w:style>
  <w:style w:type="paragraph" w:customStyle="1" w:styleId="p1">
    <w:name w:val="p1"/>
    <w:basedOn w:val="Normal"/>
    <w:rsid w:val="0058497B"/>
    <w:pPr>
      <w:spacing w:before="100" w:beforeAutospacing="1" w:after="100" w:afterAutospacing="1" w:line="240" w:lineRule="auto"/>
    </w:pPr>
    <w:rPr>
      <w:rFonts w:ascii="Times New Roman" w:hAnsi="Times New Roman" w:cs="Times New Roman"/>
      <w:kern w:val="0"/>
      <w14:ligatures w14:val="none"/>
    </w:rPr>
  </w:style>
  <w:style w:type="character" w:customStyle="1" w:styleId="s1">
    <w:name w:val="s1"/>
    <w:basedOn w:val="DefaultParagraphFont"/>
    <w:rsid w:val="0058497B"/>
  </w:style>
  <w:style w:type="paragraph" w:customStyle="1" w:styleId="p2">
    <w:name w:val="p2"/>
    <w:basedOn w:val="Normal"/>
    <w:rsid w:val="0058497B"/>
    <w:pPr>
      <w:spacing w:before="100" w:beforeAutospacing="1" w:after="100" w:afterAutospacing="1" w:line="240" w:lineRule="auto"/>
    </w:pPr>
    <w:rPr>
      <w:rFonts w:ascii="Times New Roman" w:hAnsi="Times New Roman" w:cs="Times New Roman"/>
      <w:kern w:val="0"/>
      <w14:ligatures w14:val="none"/>
    </w:rPr>
  </w:style>
  <w:style w:type="character" w:customStyle="1" w:styleId="s2">
    <w:name w:val="s2"/>
    <w:basedOn w:val="DefaultParagraphFont"/>
    <w:rsid w:val="0058497B"/>
  </w:style>
  <w:style w:type="paragraph" w:customStyle="1" w:styleId="p3">
    <w:name w:val="p3"/>
    <w:basedOn w:val="Normal"/>
    <w:rsid w:val="0058497B"/>
    <w:pPr>
      <w:spacing w:before="100" w:beforeAutospacing="1" w:after="100" w:afterAutospacing="1" w:line="240" w:lineRule="auto"/>
    </w:pPr>
    <w:rPr>
      <w:rFonts w:ascii="Times New Roman" w:hAnsi="Times New Roman" w:cs="Times New Roman"/>
      <w:kern w:val="0"/>
      <w14:ligatures w14:val="none"/>
    </w:rPr>
  </w:style>
  <w:style w:type="character" w:customStyle="1" w:styleId="s3">
    <w:name w:val="s3"/>
    <w:basedOn w:val="DefaultParagraphFont"/>
    <w:rsid w:val="0058497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1176</Words>
  <Characters>6705</Characters>
  <Application>Microsoft Office Word</Application>
  <DocSecurity>0</DocSecurity>
  <Lines>55</Lines>
  <Paragraphs>15</Paragraphs>
  <ScaleCrop>false</ScaleCrop>
  <Company/>
  <LinksUpToDate>false</LinksUpToDate>
  <CharactersWithSpaces>7866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Roger Ferguson</dc:creator>
  <cp:keywords/>
  <dc:description/>
  <cp:lastModifiedBy>Roger Ferguson</cp:lastModifiedBy>
  <cp:revision>2</cp:revision>
  <dcterms:created xsi:type="dcterms:W3CDTF">2026-01-04T21:59:00Z</dcterms:created>
  <dcterms:modified xsi:type="dcterms:W3CDTF">2026-01-04T21:59:00Z</dcterms:modified>
</cp:coreProperties>
</file>